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E4E1F" w14:textId="77777777" w:rsidR="00EE59AF" w:rsidRPr="00515587" w:rsidRDefault="00EE59AF" w:rsidP="00EE59AF">
      <w:pPr>
        <w:pStyle w:val="01NamaJurnal-JournalName"/>
        <w:rPr>
          <w:szCs w:val="20"/>
          <w:lang w:val="id-ID"/>
        </w:rPr>
      </w:pPr>
      <w:r w:rsidRPr="00515587">
        <w:rPr>
          <w:szCs w:val="20"/>
          <w:lang w:val="id-ID"/>
        </w:rPr>
        <w:t>Munaddhomah</w:t>
      </w:r>
      <w:r w:rsidRPr="00515587">
        <w:rPr>
          <w:szCs w:val="20"/>
        </w:rPr>
        <w:t xml:space="preserve">: Jurnal </w:t>
      </w:r>
      <w:r w:rsidRPr="00515587">
        <w:rPr>
          <w:szCs w:val="20"/>
          <w:lang w:val="id-ID"/>
        </w:rPr>
        <w:t xml:space="preserve">Manajemen </w:t>
      </w:r>
      <w:r w:rsidRPr="00515587">
        <w:rPr>
          <w:szCs w:val="20"/>
        </w:rPr>
        <w:t xml:space="preserve">Pendidikan </w:t>
      </w:r>
      <w:r w:rsidRPr="00515587">
        <w:rPr>
          <w:szCs w:val="20"/>
          <w:lang w:val="id-ID"/>
        </w:rPr>
        <w:t>Islam</w:t>
      </w:r>
    </w:p>
    <w:p w14:paraId="6997BE2C" w14:textId="77777777" w:rsidR="00EE59AF" w:rsidRPr="00515587" w:rsidRDefault="00EE59AF" w:rsidP="00EE59AF">
      <w:pPr>
        <w:pStyle w:val="02ISSN"/>
        <w:rPr>
          <w:b/>
          <w:bCs/>
        </w:rPr>
      </w:pPr>
      <w:r w:rsidRPr="00515587">
        <w:rPr>
          <w:b/>
          <w:bCs/>
        </w:rPr>
        <w:t>e-ISSN: 2775-2933</w:t>
      </w:r>
    </w:p>
    <w:p w14:paraId="3E739C9E" w14:textId="2583EECE" w:rsidR="0022290E" w:rsidRPr="00337071" w:rsidRDefault="00EE59AF" w:rsidP="00EE59AF">
      <w:pPr>
        <w:pStyle w:val="03Volume"/>
        <w:rPr>
          <w:b/>
          <w:bCs/>
          <w:lang w:val="en-US"/>
        </w:rPr>
      </w:pPr>
      <w:r w:rsidRPr="00515587">
        <w:rPr>
          <w:b/>
          <w:bCs/>
        </w:rPr>
        <w:t xml:space="preserve">Volume 4, Issue. 4, 2023, pp. </w:t>
      </w:r>
      <w:r>
        <w:rPr>
          <w:b/>
          <w:bCs/>
          <w:lang w:val="en-US"/>
        </w:rPr>
        <w:t>9</w:t>
      </w:r>
      <w:r>
        <w:rPr>
          <w:b/>
          <w:bCs/>
          <w:lang w:val="en-US"/>
        </w:rPr>
        <w:t>90</w:t>
      </w:r>
      <w:r w:rsidRPr="00515587">
        <w:rPr>
          <w:b/>
          <w:bCs/>
        </w:rPr>
        <w:t>-</w:t>
      </w:r>
      <w:r w:rsidR="0019107E">
        <w:rPr>
          <w:b/>
          <w:bCs/>
          <w:lang w:val="en-US"/>
        </w:rPr>
        <w:t>1000</w:t>
      </w:r>
    </w:p>
    <w:p w14:paraId="744C2DB1" w14:textId="3B6CE0B9" w:rsidR="00B20E47" w:rsidRPr="008F7323" w:rsidRDefault="00D4586B" w:rsidP="003A2DB0">
      <w:pPr>
        <w:pStyle w:val="1Judul-Title"/>
      </w:pPr>
      <w:r>
        <w:rPr>
          <w:bCs/>
          <w:szCs w:val="32"/>
          <w:lang w:val="en-US"/>
        </w:rPr>
        <w:t>Commitment as a Mediating Variable: Is There an Influence of Work Experience and Teacher Performance Motivation?</w:t>
      </w:r>
    </w:p>
    <w:p w14:paraId="2981C667" w14:textId="37956C9C" w:rsidR="00690742" w:rsidRPr="0069718E" w:rsidRDefault="00D4586B" w:rsidP="003A2DB0">
      <w:pPr>
        <w:pStyle w:val="2Penulis-Author"/>
      </w:pPr>
      <w:r>
        <w:rPr>
          <w:lang w:val="en-US"/>
        </w:rPr>
        <w:t>Friska Septriyanda Patra</w:t>
      </w:r>
      <w:r w:rsidR="004C4998">
        <w:rPr>
          <w:lang w:val="en-US"/>
        </w:rPr>
        <w:t>i</w:t>
      </w:r>
      <w:r>
        <w:rPr>
          <w:lang w:val="en-US"/>
        </w:rPr>
        <w:t>ni</w:t>
      </w:r>
      <w:r w:rsidR="000446CD" w:rsidRPr="000446CD">
        <w:rPr>
          <w:vertAlign w:val="superscript"/>
          <w:lang w:val="en-US"/>
        </w:rPr>
        <w:t>*</w:t>
      </w:r>
      <w:r w:rsidR="00AA0FA8" w:rsidRPr="0069718E">
        <w:rPr>
          <w:vertAlign w:val="superscript"/>
        </w:rPr>
        <w:t>1</w:t>
      </w:r>
      <w:r w:rsidR="00690742" w:rsidRPr="0069718E">
        <w:t xml:space="preserve">, </w:t>
      </w:r>
      <w:r>
        <w:rPr>
          <w:lang w:val="en-US"/>
        </w:rPr>
        <w:t>RR Erlina</w:t>
      </w:r>
      <w:r w:rsidR="000446CD" w:rsidRPr="000446CD">
        <w:rPr>
          <w:vertAlign w:val="superscript"/>
          <w:lang w:val="en-US"/>
        </w:rPr>
        <w:t>*</w:t>
      </w:r>
      <w:r w:rsidR="00AA0FA8" w:rsidRPr="000446CD">
        <w:rPr>
          <w:vertAlign w:val="superscript"/>
        </w:rPr>
        <w:t>2</w:t>
      </w:r>
      <w:r w:rsidR="00690742" w:rsidRPr="0069718E">
        <w:t xml:space="preserve">, </w:t>
      </w:r>
      <w:r>
        <w:rPr>
          <w:lang w:val="en-US"/>
        </w:rPr>
        <w:t>Nova Mardiana</w:t>
      </w:r>
      <w:r w:rsidR="00AA0FA8" w:rsidRPr="000446CD">
        <w:rPr>
          <w:vertAlign w:val="superscript"/>
        </w:rPr>
        <w:t>3</w:t>
      </w:r>
      <w:r w:rsidR="00AA0FA8" w:rsidRPr="0069718E">
        <w:t xml:space="preserve"> </w:t>
      </w:r>
    </w:p>
    <w:p w14:paraId="72A534DB" w14:textId="09658430" w:rsidR="00760BF6" w:rsidRDefault="00AA0FA8" w:rsidP="003A2DB0">
      <w:pPr>
        <w:pStyle w:val="3Alamat-Address"/>
        <w:rPr>
          <w:lang w:val="en-US"/>
        </w:rPr>
      </w:pPr>
      <w:r w:rsidRPr="0069718E">
        <w:rPr>
          <w:vertAlign w:val="superscript"/>
        </w:rPr>
        <w:t>1</w:t>
      </w:r>
      <w:r w:rsidR="00D4586B">
        <w:rPr>
          <w:vertAlign w:val="superscript"/>
          <w:lang w:val="en-US"/>
        </w:rPr>
        <w:t>,2,3</w:t>
      </w:r>
      <w:r w:rsidR="005B0099">
        <w:rPr>
          <w:lang w:val="en-US"/>
        </w:rPr>
        <w:t xml:space="preserve"> Universi</w:t>
      </w:r>
      <w:r w:rsidR="00D4586B">
        <w:rPr>
          <w:lang w:val="en-US"/>
        </w:rPr>
        <w:t>ty of Lampung, Indonesia</w:t>
      </w:r>
    </w:p>
    <w:p w14:paraId="60749924" w14:textId="5ED04C11" w:rsidR="00690742" w:rsidRPr="00D4586B" w:rsidRDefault="00AA0FA8" w:rsidP="00D4586B">
      <w:pPr>
        <w:pStyle w:val="4email-email"/>
        <w:ind w:left="1418" w:firstLine="0"/>
        <w:rPr>
          <w:lang w:val="en-US"/>
        </w:rPr>
      </w:pPr>
      <w:r w:rsidRPr="009A23F7">
        <w:t>e</w:t>
      </w:r>
      <w:r w:rsidR="005A09A5" w:rsidRPr="009A23F7">
        <w:t>-</w:t>
      </w:r>
      <w:r w:rsidR="00690742" w:rsidRPr="009A23F7">
        <w:t>mail:</w:t>
      </w:r>
      <w:r w:rsidR="00D4586B">
        <w:rPr>
          <w:lang w:val="en-US"/>
        </w:rPr>
        <w:t xml:space="preserve"> </w:t>
      </w:r>
      <w:r w:rsidR="004C4998" w:rsidRPr="004C4998">
        <w:rPr>
          <w:lang w:val="en-US"/>
        </w:rPr>
        <w:t>friskaseptriyandap@gmail.com</w:t>
      </w:r>
      <w:r w:rsidR="004B3AE8">
        <w:rPr>
          <w:rStyle w:val="Hyperlink"/>
          <w:color w:val="auto"/>
          <w:u w:val="none"/>
          <w:lang w:val="en-US"/>
        </w:rPr>
        <w:t xml:space="preserve">, </w:t>
      </w:r>
      <w:r w:rsidR="00D4586B">
        <w:rPr>
          <w:lang w:val="en-US"/>
        </w:rPr>
        <w:t>@erlina.1962@feb.unila.ac.id</w:t>
      </w:r>
      <w:r w:rsidR="004B3AE8">
        <w:rPr>
          <w:rStyle w:val="Hyperlink"/>
          <w:color w:val="auto"/>
          <w:u w:val="none"/>
          <w:lang w:val="en-US"/>
        </w:rPr>
        <w:t xml:space="preserve">, </w:t>
      </w:r>
      <w:r w:rsidR="00D4586B">
        <w:rPr>
          <w:rStyle w:val="Hyperlink"/>
          <w:color w:val="auto"/>
          <w:u w:val="none"/>
          <w:lang w:val="en-US"/>
        </w:rPr>
        <w:t xml:space="preserve"> </w:t>
      </w:r>
      <w:r w:rsidR="00D4586B">
        <w:rPr>
          <w:lang w:val="en-US"/>
        </w:rPr>
        <w:t>nova.mardiana@feb.unila.ac.id</w:t>
      </w:r>
    </w:p>
    <w:p w14:paraId="7423E18D" w14:textId="2A12C872" w:rsidR="00396CD6" w:rsidRPr="00A33655" w:rsidRDefault="00DD1F44" w:rsidP="005428D8">
      <w:pPr>
        <w:pStyle w:val="3aSubmitted"/>
        <w:jc w:val="center"/>
        <w:rPr>
          <w:lang w:val="en-US"/>
        </w:rPr>
      </w:pPr>
      <w:r w:rsidRPr="00DE4955">
        <w:rPr>
          <w:szCs w:val="18"/>
        </w:rPr>
        <w:t xml:space="preserve">Submitted: </w:t>
      </w:r>
      <w:r>
        <w:rPr>
          <w:szCs w:val="18"/>
          <w:lang w:val="en-US"/>
        </w:rPr>
        <w:t>11</w:t>
      </w:r>
      <w:r w:rsidRPr="00DE4955">
        <w:rPr>
          <w:szCs w:val="18"/>
        </w:rPr>
        <w:t>-0</w:t>
      </w:r>
      <w:r>
        <w:rPr>
          <w:szCs w:val="18"/>
          <w:lang w:val="en-US"/>
        </w:rPr>
        <w:t>7</w:t>
      </w:r>
      <w:r w:rsidRPr="00DE4955">
        <w:rPr>
          <w:szCs w:val="18"/>
        </w:rPr>
        <w:t>-2023</w:t>
      </w:r>
      <w:r w:rsidRPr="00DE4955">
        <w:rPr>
          <w:szCs w:val="18"/>
        </w:rPr>
        <w:tab/>
        <w:t xml:space="preserve">Revised : </w:t>
      </w:r>
      <w:r>
        <w:rPr>
          <w:szCs w:val="18"/>
          <w:lang w:val="en-US"/>
        </w:rPr>
        <w:t>1</w:t>
      </w:r>
      <w:r w:rsidRPr="00DE4955">
        <w:rPr>
          <w:szCs w:val="18"/>
        </w:rPr>
        <w:t>2-0</w:t>
      </w:r>
      <w:r>
        <w:rPr>
          <w:szCs w:val="18"/>
          <w:lang w:val="en-US"/>
        </w:rPr>
        <w:t>9</w:t>
      </w:r>
      <w:r w:rsidRPr="00DE4955">
        <w:rPr>
          <w:szCs w:val="18"/>
        </w:rPr>
        <w:t>-2023</w:t>
      </w:r>
      <w:r w:rsidRPr="00DE4955">
        <w:rPr>
          <w:szCs w:val="18"/>
        </w:rPr>
        <w:tab/>
        <w:t>Accepted:</w:t>
      </w:r>
      <w:r>
        <w:rPr>
          <w:szCs w:val="18"/>
        </w:rPr>
        <w:t xml:space="preserve"> </w:t>
      </w:r>
      <w:r>
        <w:rPr>
          <w:szCs w:val="18"/>
          <w:lang w:val="en-US"/>
        </w:rPr>
        <w:t>11</w:t>
      </w:r>
      <w:r w:rsidRPr="00DE4955">
        <w:rPr>
          <w:szCs w:val="18"/>
        </w:rPr>
        <w:t>-</w:t>
      </w:r>
      <w:r>
        <w:rPr>
          <w:szCs w:val="18"/>
          <w:lang w:val="en-US"/>
        </w:rPr>
        <w:t>10</w:t>
      </w:r>
      <w:r w:rsidRPr="00DE4955">
        <w:rPr>
          <w:szCs w:val="18"/>
        </w:rPr>
        <w:t>-2023</w:t>
      </w:r>
      <w:r w:rsidR="00A33655">
        <w:rPr>
          <w:lang w:val="en-US"/>
        </w:rPr>
        <w:t xml:space="preserve">  </w:t>
      </w:r>
    </w:p>
    <w:p w14:paraId="1F90D882" w14:textId="7DCA0763" w:rsidR="00F14D9B" w:rsidRDefault="00690742" w:rsidP="00A15664">
      <w:pPr>
        <w:pStyle w:val="5Abstrak-Abstract"/>
        <w:spacing w:after="120"/>
        <w:rPr>
          <w:lang w:val="en-US"/>
        </w:rPr>
      </w:pPr>
      <w:r w:rsidRPr="0069718E">
        <w:rPr>
          <w:b/>
        </w:rPr>
        <w:t>ABSTRA</w:t>
      </w:r>
      <w:r w:rsidR="003A2DB0">
        <w:rPr>
          <w:b/>
          <w:lang w:val="en-US"/>
        </w:rPr>
        <w:t>CT</w:t>
      </w:r>
      <w:r w:rsidRPr="0069718E">
        <w:rPr>
          <w:b/>
        </w:rPr>
        <w:t xml:space="preserve">. </w:t>
      </w:r>
      <w:r w:rsidR="00D4586B" w:rsidRPr="00D4586B">
        <w:t>The purpose of this study was to determine the effect of work experience and motivation on teacher performance with commitment as a mediating variable for teachers of SMA Negeri in Bandar Lampung City. This research method is quantitative and analyzed using Structural Equation Modeling (SEM) analysis. Data used in the study this obtained from results testing questionnaire against 224 teachers at State High Schools in Bandar Lampung City who were used sample in study with technique purposive sampling. The results obtained from study This support proposed hypothesis that is experience Work influential positive and significant to performance, motivation influential positive and significant to performance, commitment mediate influence experience Work to performance and commitment mediate influence motivation to performance. Implications from study this is so that teachers can increase performance through experience work and work for produce quality work in accordance with criteria that have been determined at school. Apart from that, it is hoped that school principals can increase teacher work motivation using the method of assessing the work of teachers who have completed their assignments. Then by giving appreciation to other teachers, it is hoped that teachers can improve interpersonal relationships, so that teachers feel comfortable and connected. between teachers is increasingly harmonious, with conditions that can improve teacher performance. And, hopefully to head school for can increase teachers' commitment to advance school with method make attachment with the teacher so the teacher will feel become part family at school. Lastly, teachers should do more increase its independence in Work although no there is supervision from head school and able finish task without must wait help colleague work.</w:t>
      </w:r>
    </w:p>
    <w:p w14:paraId="12CEB77D" w14:textId="202A5874" w:rsidR="00690742" w:rsidRPr="00F3031F" w:rsidRDefault="003A2DB0" w:rsidP="003A2DB0">
      <w:pPr>
        <w:pStyle w:val="6Katakunci-Keywords"/>
        <w:spacing w:after="240"/>
        <w:rPr>
          <w:lang w:val="en-US"/>
        </w:rPr>
      </w:pPr>
      <w:r>
        <w:rPr>
          <w:b/>
          <w:bCs/>
          <w:lang w:val="en-US"/>
        </w:rPr>
        <w:t>Keywords</w:t>
      </w:r>
      <w:r w:rsidR="00690742" w:rsidRPr="0069718E">
        <w:t xml:space="preserve">: </w:t>
      </w:r>
      <w:r w:rsidR="00F3031F">
        <w:rPr>
          <w:i/>
          <w:iCs/>
          <w:lang w:val="en-US"/>
        </w:rPr>
        <w:t>Work Experience, Teacher Performance, Commitment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57"/>
        <w:gridCol w:w="7654"/>
      </w:tblGrid>
      <w:tr w:rsidR="00EC3E81" w14:paraId="5F954A89" w14:textId="77777777" w:rsidTr="00D75266">
        <w:tc>
          <w:tcPr>
            <w:tcW w:w="461" w:type="dxa"/>
          </w:tcPr>
          <w:p w14:paraId="1F61FC19" w14:textId="77777777" w:rsidR="00EC3E81" w:rsidRDefault="00EC3E81" w:rsidP="005428D8">
            <w:pPr>
              <w:pStyle w:val="7Bagian-Section"/>
              <w:spacing w:before="0" w:after="0"/>
              <w:ind w:left="0"/>
              <w:rPr>
                <w:sz w:val="20"/>
                <w:szCs w:val="20"/>
                <w:lang w:val="en-US"/>
              </w:rPr>
            </w:pPr>
            <w:r>
              <w:rPr>
                <w:noProof/>
                <w:lang w:eastAsia="id-ID"/>
              </w:rPr>
              <w:drawing>
                <wp:inline distT="0" distB="0" distL="0" distR="0" wp14:anchorId="478C1679" wp14:editId="56F1D41E">
                  <wp:extent cx="155575" cy="1555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p>
        </w:tc>
        <w:tc>
          <w:tcPr>
            <w:tcW w:w="8611" w:type="dxa"/>
            <w:gridSpan w:val="2"/>
          </w:tcPr>
          <w:p w14:paraId="0D10FBB7" w14:textId="59C5092A" w:rsidR="00EC3E81" w:rsidRPr="00B24778" w:rsidRDefault="00DD1F44" w:rsidP="005428D8">
            <w:pPr>
              <w:pStyle w:val="7Bagian-Section"/>
              <w:spacing w:before="0" w:after="0"/>
              <w:ind w:left="0"/>
              <w:rPr>
                <w:sz w:val="20"/>
                <w:szCs w:val="20"/>
                <w:lang w:val="en-US"/>
              </w:rPr>
            </w:pPr>
            <w:r w:rsidRPr="00DD1F44">
              <w:rPr>
                <w:rStyle w:val="Hyperlink"/>
                <w:b w:val="0"/>
                <w:bCs w:val="0"/>
                <w:caps w:val="0"/>
                <w:sz w:val="20"/>
                <w:szCs w:val="20"/>
                <w:lang w:val="en-US"/>
              </w:rPr>
              <w:t>https://doi.org/10.31538/munaddhomah.v4i4.731</w:t>
            </w:r>
          </w:p>
        </w:tc>
      </w:tr>
      <w:tr w:rsidR="008D2477" w14:paraId="271FB293" w14:textId="77777777" w:rsidTr="00D75266">
        <w:tc>
          <w:tcPr>
            <w:tcW w:w="1418" w:type="dxa"/>
            <w:gridSpan w:val="2"/>
          </w:tcPr>
          <w:p w14:paraId="7D59464D" w14:textId="77777777" w:rsidR="008D2477" w:rsidRDefault="008D2477" w:rsidP="005428D8">
            <w:pPr>
              <w:pStyle w:val="7Bagian-Section"/>
              <w:spacing w:before="0" w:after="0"/>
              <w:ind w:left="0"/>
              <w:rPr>
                <w:sz w:val="20"/>
                <w:szCs w:val="20"/>
                <w:lang w:val="en-US"/>
              </w:rPr>
            </w:pPr>
            <w:r w:rsidRPr="00EC3E81">
              <w:rPr>
                <w:caps w:val="0"/>
                <w:sz w:val="20"/>
                <w:szCs w:val="20"/>
                <w:lang w:val="en-US"/>
              </w:rPr>
              <w:t>How to Cite</w:t>
            </w:r>
          </w:p>
        </w:tc>
        <w:tc>
          <w:tcPr>
            <w:tcW w:w="7654" w:type="dxa"/>
          </w:tcPr>
          <w:p w14:paraId="64EB04B0" w14:textId="3BC15137" w:rsidR="008D2477" w:rsidRDefault="00DD1F44" w:rsidP="00440D96">
            <w:pPr>
              <w:pStyle w:val="7Bagian-Section"/>
              <w:spacing w:before="0" w:after="0"/>
              <w:ind w:left="0"/>
              <w:rPr>
                <w:sz w:val="20"/>
                <w:szCs w:val="20"/>
                <w:lang w:val="en-US"/>
              </w:rPr>
            </w:pPr>
            <w:r w:rsidRPr="00DD1F44">
              <w:rPr>
                <w:b w:val="0"/>
                <w:bCs w:val="0"/>
                <w:caps w:val="0"/>
                <w:sz w:val="20"/>
                <w:szCs w:val="20"/>
                <w:lang w:val="en-US"/>
              </w:rPr>
              <w:t xml:space="preserve">Patraini, F. S., Erlina, R., &amp; Mardiana, N. (2023). Commitment as a Mediating Variable: Is There an Influence of Work Experience and Teacher Performance Motivation?. </w:t>
            </w:r>
            <w:r w:rsidRPr="00DD1F44">
              <w:rPr>
                <w:b w:val="0"/>
                <w:bCs w:val="0"/>
                <w:i/>
                <w:iCs/>
                <w:caps w:val="0"/>
                <w:sz w:val="20"/>
                <w:szCs w:val="20"/>
                <w:lang w:val="en-US"/>
              </w:rPr>
              <w:t>Munaddhomah: Jurnal Manajemen Pendidikan Islam</w:t>
            </w:r>
            <w:r w:rsidRPr="00DD1F44">
              <w:rPr>
                <w:b w:val="0"/>
                <w:bCs w:val="0"/>
                <w:caps w:val="0"/>
                <w:sz w:val="20"/>
                <w:szCs w:val="20"/>
                <w:lang w:val="en-US"/>
              </w:rPr>
              <w:t>, 4(4).</w:t>
            </w:r>
          </w:p>
        </w:tc>
      </w:tr>
    </w:tbl>
    <w:p w14:paraId="061274B1" w14:textId="77777777" w:rsidR="00690742" w:rsidRDefault="004B3AE8" w:rsidP="004B3AE8">
      <w:pPr>
        <w:pStyle w:val="7Bagian-Section"/>
        <w:spacing w:before="360"/>
      </w:pPr>
      <w:r>
        <w:rPr>
          <w:lang w:val="en-US"/>
        </w:rPr>
        <w:t>INTRODUCTION</w:t>
      </w:r>
    </w:p>
    <w:p w14:paraId="68082642" w14:textId="77777777" w:rsidR="004A2C47" w:rsidRPr="004A2C47" w:rsidRDefault="004A2C47" w:rsidP="004A2C47">
      <w:pPr>
        <w:pStyle w:val="Body"/>
        <w:spacing w:line="240" w:lineRule="auto"/>
        <w:rPr>
          <w:rFonts w:ascii="Garamond" w:hAnsi="Garamond"/>
          <w:sz w:val="24"/>
          <w:szCs w:val="24"/>
          <w:lang w:val="en-ID"/>
        </w:rPr>
      </w:pPr>
      <w:r w:rsidRPr="004A2C47">
        <w:rPr>
          <w:rFonts w:ascii="Garamond" w:hAnsi="Garamond"/>
          <w:sz w:val="24"/>
          <w:szCs w:val="24"/>
          <w:lang w:val="en-ID"/>
        </w:rPr>
        <w:t xml:space="preserve">Something institution or agency work realize that source power human resources (HR) is very important in achievement objective company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{"citationItems":[{"id":"ITEM-1","itemData":{"DOI":"10.1080/09585192.2020.1754881","ISSN":"14664399","abstract":"Performance management is an ongoing process that intends to facilitate employee performance. There are concerns that this may lead to negative employee experiences. In education, an effectively operating performance management process is crucial, considering the challenging and demanding nature of the teaching profession. Drawing on social exchange theory and the job demands-resources model, we propose that when teachers perceive performance management as a process that adheres to the principles of a so-called strong HRM system (i.e. one that communicates distinctively, consistently and reaches high levels of consensus), they will feel more appreciated, valued and energized, as signaled by higher levels of affective organizational commitment and less exhaustion. We hypothesize that, in turn, these outcomes improve teacher performance. We collected data from 458 Flemish teachers and matched these with performance ratings provided by school principals. The results show that the perceived strength of a performance management process relates negatively to teacher exhaustion while relating positively to their performance. Moreover, the relationship between perceived performance management process strength and teacher performance appeared to be indirect, operating primarily through affective organizational commitment. We discuss several theoretical and practical implications.","author":[{"dropping-particle":"","family":"Waeyenberg","given":"Thomas","non-dropping-particle":"Van","parse-names":false,"suffix":""},{"dropping-particle":"","family":"Peccei","given":"Riccardo","non-dropping-particle":"","parse-names":false,"suffix":""},{"dropping-particle":"","family":"Decramer","given":"Adelien","non-dropping-particle":"","parse-names":false,"suffix":""}],"container-title":"International Journal of Human Resource Management","id":"ITEM-1","issue":"4","issued":{"date-parts":[["2022"]]},"page":"623-646","publisher":"Routledge","title":"Performance management and teacher performance: the role of affective organizational commitment and exhaustion","type":"article-journal","volume":"33"},"uris":["http://www.mendeley.com/documents/?uuid=f55cbb41-5d8d-4cfc-b042-962fe71dc479"]}],"mendeley":{"formattedCitation":"(Van Waeyenberg et al., 2022)","plainTextFormattedCitation":"(Van Waeyenberg et al., 2022)","previouslyFormattedCitation":"(Van Waeyenberg et al., 2022)"},"properties":{"noteIndex":0},"schema":"https://github.com/citation-style-language/schema/raw/master/csl-citation.json"}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(Van Waeyenberg et al., 2022)</w:t>
      </w:r>
      <w:r w:rsidRPr="004A2C47">
        <w:rPr>
          <w:rFonts w:ascii="Garamond" w:hAnsi="Garamond"/>
          <w:sz w:val="24"/>
          <w:szCs w:val="24"/>
          <w:lang w:val="en-ID"/>
        </w:rPr>
        <w:fldChar w:fldCharType="end"/>
      </w:r>
      <w:r w:rsidRPr="004A2C47">
        <w:rPr>
          <w:rFonts w:ascii="Garamond" w:hAnsi="Garamond"/>
          <w:sz w:val="24"/>
          <w:szCs w:val="24"/>
          <w:lang w:val="en-ID"/>
        </w:rPr>
        <w:t xml:space="preserve">. Global competition is one of them factor Where company No only need skilled employees in the field but also willing employees work with enterprising so that can reach optimal results. this show that employees also provide contribution to institution or agency work, because it can be said that employees are the factor that most directly influences the competitiveness of an institution or work agency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{"citationItems":[{"id":"ITEM-1","itemData":{"DOI":"10.1080/19345747.2018.1490471","ISSN":"19345739","abstract":"Like other public workers, teachers typically receive high and compressed ratings that do little to differentiate them based on performance. Motivated by empirical evidence of substantial variation in effectiveness among teachers, there has been a recent push to develop more informative evaluation systems with greater ratings dispersion. We study one of the first of these new systems, implemented in Tennessee, in order to understand how teachers respond to the provision of new, more differentiated performance ratings. We focus on whether summative ratings influence teachers’ self-reported, self-directed professional improvement activities as measured by four items on a statewide teacher survey. Using a regression discontinuity design we find no evidence that teachers alter their time investments in professional improvement, or adjust their professional improvement activities based on evaluation feedback, in response to their ratings.","author":[{"dropping-particle":"","family":"Koedel","given":"Cory","non-dropping-particle":"","parse-names":false,"suffix":""},{"dropping-particle":"","family":"Li","given":"Jiaxi","non-dropping-particle":"","parse-names":false,"suffix":""},{"dropping-particle":"","family":"Springer","given":"Matthew G.","non-dropping-particle":"","parse-names":false,"suffix":""},{"dropping-particle":"","family":"Tan","given":"Li","non-dropping-particle":"","parse-names":false,"suffix":""}],"container-title":"Journal of Research on Educational Effectiveness","id":"ITEM-1","issue":"1","issued":{"date-parts":[["2019"]]},"page":"90-115","publisher":"Routledge","title":"Teacher Performance Ratings and Professional Improvement","type":"article-journal","volume":"12"},"uris":["http://www.mendeley.com/documents/?uuid=d0e7a8de-c00c-4712-be26-8fc989bf0dd6"]}],"mendeley":{"formattedCitation":"(Koedel et al., 2019)","plainTextFormattedCitation":"(Koedel et al., 2019)","previouslyFormattedCitation":"(Koedel et al., 2019)"},"properties":{"noteIndex":0},"schema":"https://github.com/citation-style-language/schema/raw/master/csl-citation.json"}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(Koedel et al., 2019)</w:t>
      </w:r>
      <w:r w:rsidRPr="004A2C47">
        <w:rPr>
          <w:rFonts w:ascii="Garamond" w:hAnsi="Garamond"/>
          <w:sz w:val="24"/>
          <w:szCs w:val="24"/>
          <w:lang w:val="en-ID"/>
        </w:rPr>
        <w:fldChar w:fldCharType="end"/>
      </w:r>
      <w:r w:rsidRPr="004A2C47">
        <w:rPr>
          <w:rFonts w:ascii="Garamond" w:hAnsi="Garamond"/>
          <w:sz w:val="24"/>
          <w:szCs w:val="24"/>
          <w:lang w:val="en-ID"/>
        </w:rPr>
        <w:t xml:space="preserve">. Source Power skilled and fulfilling human being reject measuring some are really needed company. That's importance source Power human, like employees, in determine success something company. In case this is necessary knowledge about How direct employees to do so work with maximum. This requires companies to formulate policies that allow encouraging </w:t>
      </w:r>
      <w:r w:rsidRPr="004A2C47">
        <w:rPr>
          <w:rFonts w:ascii="Garamond" w:hAnsi="Garamond"/>
          <w:sz w:val="24"/>
          <w:szCs w:val="24"/>
          <w:lang w:val="en-ID"/>
        </w:rPr>
        <w:lastRenderedPageBreak/>
        <w:t xml:space="preserve">employee performance. Human Resources (HR) is necessary get attention special in management, because source Power man own Lots superiority compared to source other power like reason, feelings, skills, abilities, knowledge, innovation and creativity. Source Power man own role important in every activity company. Advanced technology and sufficient infrastructure can work with exists support from source power skilled and reliable to use finish activity company with good. According to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{"citationItems":[{"id":"ITEM-1","itemData":{"DOI":"10.1080/13664530.2020.1829023","ISSN":"17475120","abstract":"This article focuses on the career cycle and initial motivation of secondary school teachers in Slovenia and is based on the Teacher Career Cycle Model. The aim of the study was to determine whether there are differences in the career stages and motivation in terms of teachers’ gender, mode of formal education and length of work experience in teaching and whether there are any correlations between the stages and motivation. The study included 94 secondary school teachers who completed the Slovenian version of the Career Choice Scale and Career Development Scale. The results show that female teachers are more intrinsically motivated in choosing the profession, while male teachers are more insecure in the profession. Teachers who completed concurrent programmes show a higher level of intrinsic motivation for the teaching profession and a major wind-down was apparent for teachers with 21 years or more of work experience in teaching.","author":[{"dropping-particle":"","family":"Štemberger","given":"Tina","non-dropping-particle":"","parse-names":false,"suffix":""}],"container-title":"Teacher Development","id":"ITEM-1","issue":"5","issued":{"date-parts":[["2020"]]},"page":"709-726","publisher":"Routledge","title":"The teacher career cycle and initial motivation: the case of Slovenian secondary school teachers","type":"article-journal","volume":"24"},"uris":["http://www.mendeley.com/documents/?uuid=93a8df75-f24d-4170-b9c9-4b4d604ad98b"]}],"mendeley":{"formattedCitation":"(Štemberger, 2020)","manualFormatting":"Štemberger (2020)","plainTextFormattedCitation":"(Štemberger, 2020)","previouslyFormattedCitation":"(Štemberger, 2020)"},"properties":{"noteIndex":0},"schema":"https://github.com/citation-style-language/schema/raw/master/csl-citation.json"}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Štemberger (2020)</w:t>
      </w:r>
      <w:r w:rsidRPr="004A2C47">
        <w:rPr>
          <w:rFonts w:ascii="Garamond" w:hAnsi="Garamond"/>
          <w:sz w:val="24"/>
          <w:szCs w:val="24"/>
          <w:lang w:val="en-ID"/>
        </w:rPr>
        <w:fldChar w:fldCharType="end"/>
      </w:r>
      <w:r w:rsidRPr="004A2C47">
        <w:rPr>
          <w:rFonts w:ascii="Garamond" w:hAnsi="Garamond"/>
          <w:sz w:val="24"/>
          <w:szCs w:val="24"/>
          <w:lang w:val="en-ID"/>
        </w:rPr>
        <w:t xml:space="preserve"> explains company need employees who have high performance. The more urge company sued for acquire, develop and maintain source power man in accordance with changing environment in a manner dynamic. Role source Power man important for need company in create management strategies source Power man parallel with important strategies in the field others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{"citationItems":[{"id":"ITEM-1","itemData":{"DOI":"10.31538/munaddhomah.v1i1.29","abstract":"Penelitian ini dilakukan untuk memperoleh informasi tentang  Manajemen Perilaku Organisasi Madrasah Pada Madrasah Ibtidaiyah (MI) Darussalam Pacet Tahun 2017/2018.   Penelitian   ini  merumuskan bagaimana Manajemen perilaku organisasi madrasah pada MI Tahun 2017/2018 dalam mewujudkan sumber daya manusia,  hambatan   dan   solusinya. Tujuan  penelitian   1)   mendeskripsikan manajemen perilaku organisasi madrasah pada MI Tahun 2017/2018 dalam mewujudkan sumber daya manusia. 2) Menganalisis hambatan dan solusi dalam penelitian ini.Hasil penelitian mengungkap mengenai (1) Manajemen Perilaku Organisasi Madrasah Pada Madrasah Ibtidaiyah (MI) Darussalam Pacet dalam mewujudkan sumber daya manusia yang dilakukan  dengan perencanaan; dilaksanakan dengan melakukan analisis terhadap seluruh kegiatan atau beban pekerjaan kapasitas intelektual, kapabilitas, pengalaman kerjadan ketauladanan. Rekrutmen; mengutamakan prestasi akademik, non akademik, berakhlak baik,dan mengesampingkan hubungan kekerabatan serta mengutamakan prestasi dan profesionalisme. Pengembangan; mengubah perilaku agar terjadi perubahan  danada peningkatan melalui workshop, diklat dan pelatihan. Pengawasan; dilakukan sesuai  jadwal sebulan sekali pada seluruh rangkaian kegiatan sekolah, keadaan siswa, sarana prasarana, guru, program, fasilitas. Evaluasi; tiga tahap yaitu bulanan, tengah semester dan akhir semester, serta akhir tahun pembelajaran. Hambatan; Tenaga pengajar belum sesuai yang dibutuhkan, bukan lulusan pendidikan Guru, guru yang  sudah mengajar tidak sesuai bidangnya, minimnya pengawasan, minimnya pengembangan kapasitas, dan kurangnya evaluasi. Solusi; manajemen rekrutmen dengan seleksi akademis dan non akademis, pengembangan guru pelatihan, worshop, pengawasan dan perhatian terhadap organisasi tersebut.","author":[{"dropping-particle":"","family":"Darim","given":"Abu","non-dropping-particle":"","parse-names":false,"suffix":""}],"container-title":"Munaddhomah: Jurnal Manajemen Pendidikan Islam","id":"ITEM-1","issue":"1","issued":{"date-parts":[["2020"]]},"page":"22-40","title":"Manajemen Perilaku Organisasi Dalam Mewujudkan Sumber Daya Manusia Yang Kompeten","type":"article-journal","volume":"1"},"uris":["http://www.mendeley.com/documents/?uuid=40b95b47-8b13-4884-98b4-4c7f9c9648f2"]}],"mendeley":{"formattedCitation":"(Darim, 2020)","plainTextFormattedCitation":"(Darim, 2020)","previouslyFormattedCitation":"(Darim, 2020)"},"properties":{"noteIndex":0},"schema":"https://github.com/citation-style-language/schema/raw/master/csl-citation.json"}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(Darim, 2020)</w:t>
      </w:r>
      <w:r w:rsidRPr="004A2C47">
        <w:rPr>
          <w:rFonts w:ascii="Garamond" w:hAnsi="Garamond"/>
          <w:sz w:val="24"/>
          <w:szCs w:val="24"/>
          <w:lang w:val="en-ID"/>
        </w:rPr>
        <w:fldChar w:fldCharType="end"/>
      </w:r>
      <w:r w:rsidRPr="004A2C47">
        <w:rPr>
          <w:rFonts w:ascii="Garamond" w:hAnsi="Garamond"/>
          <w:sz w:val="24"/>
          <w:szCs w:val="24"/>
          <w:lang w:val="en-ID"/>
        </w:rPr>
        <w:t>.</w:t>
      </w:r>
    </w:p>
    <w:p w14:paraId="6368AF20" w14:textId="6E1587E6" w:rsidR="004A2C47" w:rsidRPr="004A2C47" w:rsidRDefault="004A2C47" w:rsidP="004A2C47">
      <w:pPr>
        <w:pStyle w:val="Body"/>
        <w:spacing w:line="240" w:lineRule="auto"/>
        <w:rPr>
          <w:rFonts w:ascii="Garamond" w:hAnsi="Garamond"/>
          <w:sz w:val="24"/>
          <w:szCs w:val="24"/>
          <w:lang w:val="en-ID"/>
        </w:rPr>
      </w:pPr>
      <w:r w:rsidRPr="004A2C47">
        <w:rPr>
          <w:rFonts w:ascii="Garamond" w:hAnsi="Garamond"/>
          <w:sz w:val="24"/>
          <w:szCs w:val="24"/>
          <w:lang w:val="en-ID"/>
        </w:rPr>
        <w:t xml:space="preserve">Employee performance is results work the quality and quantity achieved by a person employee in do task in accordance with not quite enough answer given to him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{"citationItems":[{"id":"ITEM-1","itemData":{"DOI":"10.21154/sajiem.v2i1.48","ISSN":"2716-0599","abstract":"Abstrak\r Masa pandemi yang sampai saat ini masih berlangsung, menuntut guru untuk mampu melaksanakan pembelajaran secara daring. Pembelajaran daring adalah pembelajaran tanpa adanya kegiatan tatap muka, yang dilakukan menggunakan berbagai platform yang tersedia di internet. Kemampuan guru dalam memanfaatkan media teknologi yang ada, sangat berpengaruh terhadap pelaksanaan pembelajaran daring ini. Sekolah memiliki tanggung jawab melaksanakan manajemen sumber daya manusia (SDM) dengan baik sebagai upaya memastikan seluruh guru dapat melaksanakan pembelajaran daring menggunakan berbagai platform yang tersedia. Penelitian ini bertujuan untuk mengkaji lebih mendalam berkaitan dengan manajemen SDM dalam peningkatan kemampuan guru dalam melaksanakan pembelajaran daring. Metode library research digunakan melalui penggalian informasi dari berbagai literatur terkait dengan pelaksanakaan manajemen SDM di lembaga pendidikan serta upaya peningkatan kompetensi guru dalam melaksanakan pembelajaran daring. Hasil menunjukkan bahwa peningkatan kompetensi guru dalam melaksanakan pembelajaran daring dapat dilakukan melalui pelaksanaan kegiatan pelatihan pembelajaran daring, pembentukan tim khusus yang fokus membantu guru dalam melaksanakan pembelajaran daring, serta kegiatan supervisi yang berkelanjutan.\r  \r Kata Kunci: manajemen SDM, kompetensi guru, pembelajaran daring.","author":[{"dropping-particle":"","family":"Werdiningsih","given":"Wilis","non-dropping-particle":"","parse-names":false,"suffix":""}],"container-title":"Southeast Asian Journal of Islamic Education Management","id":"ITEM-1","issue":"1","issued":{"date-parts":[["2021"]]},"page":"113-124","title":"Manajemen Sumber Daya Manusia dalam Meningkatkan Kompetensi Guru Melaksanakan Pembelajaran Daring","type":"article-journal","volume":"2"},"uris":["http://www.mendeley.com/documents/?uuid=dcdb381a-a0bd-47bd-9a05-3b7b4390d0b9"]}],"mendeley":{"formattedCitation":"(Werdiningsih, 2021)","plainTextFormattedCitation":"(Werdiningsih, 2021)","previouslyFormattedCitation":"(Werdiningsih, 2021)"},"properties":{"noteIndex":0},"schema":"https://github.com/citation-style-language/schema/raw/master/csl-citation.json"}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(Werdiningsih, 2021)</w:t>
      </w:r>
      <w:r w:rsidRPr="004A2C47">
        <w:rPr>
          <w:rFonts w:ascii="Garamond" w:hAnsi="Garamond"/>
          <w:sz w:val="24"/>
          <w:szCs w:val="24"/>
          <w:lang w:val="en-ID"/>
        </w:rPr>
        <w:fldChar w:fldCharType="end"/>
      </w:r>
      <w:r w:rsidRPr="004A2C47">
        <w:rPr>
          <w:rFonts w:ascii="Garamond" w:hAnsi="Garamond"/>
          <w:sz w:val="24"/>
          <w:szCs w:val="24"/>
          <w:lang w:val="en-ID"/>
        </w:rPr>
        <w:t xml:space="preserve">.The most important thing to want well by employees nor company is enhancement performance. Optimal employee performance is desired company For interest company in enhancement results work and profit . On the other hand, it's important for employee in development self and promotion job. Needed system management good performance for fulfil second desire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{"citationItems":[{"id":"ITEM-1","itemData":{"ISBN":"2461-1158","abstract":"Seiring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Kata","author":[{"dropping-particle":"","family":"Nurul Aslamiyah","given":"Muhammad Feri Fernadi","non-dropping-particle":"","parse-names":false,"suffix":""}],"container-title":"An-Nur","id":"ITEM-1","issued":{"date-parts":[["2022"]]},"page":"1-12","title":"Pengaruh Manajerial Kepala Madrasah Terhadap Kinerja Guru Di Madrasah Aliyah Hidayatul Mubtadiin Jati Agung, Lampung Selatan","type":"article-journal","volume":"8"},"uris":["http://www.mendeley.com/documents/?uuid=81dadd52-a3ee-4cde-a075-42392376b6b0"]}],"mendeley":{"formattedCitation":"(Nurul Aslamiyah, 2022)","plainTextFormattedCitation":"(Nurul Aslamiyah, 2022)","previouslyFormattedCitation":"(Nurul Aslamiyah, 2022)"},"properties":{"noteIndex":0},"schema":"https://github.com/citation-style-language/schema/raw/master/csl-citation.json"}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(Nurul Aslamiyah, 2022)</w:t>
      </w:r>
      <w:r w:rsidRPr="004A2C47">
        <w:rPr>
          <w:rFonts w:ascii="Garamond" w:hAnsi="Garamond"/>
          <w:sz w:val="24"/>
          <w:szCs w:val="24"/>
          <w:lang w:val="en-ID"/>
        </w:rPr>
        <w:fldChar w:fldCharType="end"/>
      </w:r>
      <w:r w:rsidRPr="004A2C47">
        <w:rPr>
          <w:rFonts w:ascii="Garamond" w:hAnsi="Garamond"/>
          <w:sz w:val="24"/>
          <w:szCs w:val="24"/>
          <w:lang w:val="en-ID"/>
        </w:rPr>
        <w:t xml:space="preserve">. According to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{"citationItems":[{"id":"ITEM-1","itemData":{"DOI":"10.38035/JMPIS","abstract":"Penelitian ini bertujuan mengetahui konten Shopee terhadap keputusan pembelian customer. Penelitian ini menggunakan jenis penelitian deskriptif dengan pendekatan kuantitatif. Variabel yang digunakan dalam penelitian ini ada lima, yaitu Design (X1),berita terkini(X2), pengalaman menarik saat membaca(X3), waktu penayangan(X4) dan kesesuaian berita (X5). Pengumpulan data diperoleh melalui penyebaran kuesioner secara online (e-kuesioner) pada Mahasiswa Jurusan Manajemen Bisnis Politeknik Piksi Ganesha yang pernah menggunakan aplikasi Shopee. Sampel yang digunakan dalam penelitian ini berjumlah 170 orang responden. Teknik pengambilan sampel yang digunakan adalah purposive sampling. Analisis data yang digunakan adalah analisis deskriptif dan analisis regresi linier berganda. Hasil penelitian menunjukkan bahwa variabel design (X1),berita terkini (X2), pengalaman saat membaca (X3), waktu penayangan (X4), kesesuaian berita (X5) secara bersama-bersama berpengaruh secara simultan dan signifikan terhadap Struktur Keputusan Pembelian (Y). Hasil Uji Simultan atau Bersama-sama (Uji F) menunjukkan bahwa berpengaruh signifikan terhadap variabel terikat yaiitu Struktur Keputusan Pembelian (Y). Hal ini terbukti dari hasil nilai sig. F (0,018) &lt; sig. α (0,05) dan hasil koefisien determinasi (Adjusted R Square) sebesar 0,281 atau setara dengan 28,1 % yang artinya variabel bebas dapat memengaruhi variabel terikat sebesar 28,1 % sedangkan 71,9 % sisanya dipengaruhi oleh variabel-variabel lain yang tidak dibahas dalam penelitian ini. Berdasarkan hasil penelitian ini, sebaiknya Shopee melakukan inovasi konten yang telah dilakukan untuk semakin memperkuat keputusan pembelian produk.","author":[{"dropping-particle":"","family":"Yusuf","given":"Ramayani","non-dropping-particle":"","parse-names":false,"suffix":""},{"dropping-particle":"","family":"Hendawati","given":"Heny","non-dropping-particle":"","parse-names":false,"suffix":""},{"dropping-particle":"","family":"Wibowo","given":"Lili Adi","non-dropping-particle":"","parse-names":false,"suffix":""}],"container-title":"Jurnal Manajemen Pendidikan dan iImu Sosial","id":"ITEM-1","issue":"2","issued":{"date-parts":[["2020"]]},"page":"506-515","title":"Pengaruh Konten Pemasaran Shoppe Terhadap Pembelian Pelanggan","type":"article-journal","volume":"1"},"uris":["http://www.mendeley.com/documents/?uuid=9b12e386-8039-4d9a-ba63-7b19eb786dd0"]}],"mendeley":{"formattedCitation":"(Yusuf et al., 2020)","manualFormatting":"Yusuf et al (2020)","plainTextFormattedCitation":"(Yusuf et al., 2020)","previouslyFormattedCitation":"(Yusuf et al., 2020)"},"properties":{"noteIndex":0},"schema":"https://github.com/citation-style-language/schema/raw/master/csl-citation.json"}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Yusuf et al (2020)</w:t>
      </w:r>
      <w:r w:rsidRPr="004A2C47">
        <w:rPr>
          <w:rFonts w:ascii="Garamond" w:hAnsi="Garamond"/>
          <w:sz w:val="24"/>
          <w:szCs w:val="24"/>
          <w:lang w:val="en-ID"/>
        </w:rPr>
        <w:fldChar w:fldCharType="end"/>
      </w:r>
      <w:r w:rsidRPr="004A2C47">
        <w:rPr>
          <w:rFonts w:ascii="Garamond" w:hAnsi="Garamond"/>
          <w:sz w:val="24"/>
          <w:szCs w:val="24"/>
          <w:lang w:val="en-ID"/>
        </w:rPr>
        <w:t xml:space="preserve"> level performance low employee will raises impact negative for company like lazy work, lack performance work and discipline employee. Factors certain like established regulations company, conditions work employee in fulfil demands work, so created condition thereby result employee own level low performance. There are several necessary thing fulfilled for increase performance qualified employees tall that is how company give motivation and how increase commitment employee.</w:t>
      </w:r>
      <w:r>
        <w:rPr>
          <w:rFonts w:ascii="Garamond" w:hAnsi="Garamond"/>
          <w:sz w:val="24"/>
          <w:szCs w:val="24"/>
          <w:lang w:val="en-ID"/>
        </w:rPr>
        <w:t xml:space="preserve"> </w:t>
      </w:r>
      <w:r w:rsidRPr="004A2C47">
        <w:rPr>
          <w:rFonts w:ascii="Garamond" w:hAnsi="Garamond"/>
          <w:sz w:val="24"/>
          <w:szCs w:val="24"/>
          <w:lang w:val="en-ID"/>
        </w:rPr>
        <w:t xml:space="preserve">A employees who have performance is good will support achievement goals and objectives company.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{"citationItems":[{"id":"ITEM-1","itemData":{"abstract":"Banyaknya sekolah-sekolah yang berdiri tetap belum dapat meningkatkan efektivitas, efisiensi dan mutu pendidikan nasional. Perubahan manajemen sumber daya manusia di sekolah harus dilakukan melalui regrouping sekolah agar terjadi peningkatan mutu sekolah …","author":[{"dropping-particle":"","family":"Chotimah","given":"C","non-dropping-particle":"","parse-names":false,"suffix":""},{"dropping-particle":"","family":"Nisa","given":"K","non-dropping-particle":"","parse-names":false,"suffix":""}],"container-title":"Prosiding Seminar Nasional Multidisiplin","id":"ITEM-1","issued":{"date-parts":[["2019"]]},"page":"125-128","title":"Peran Manajemen Sumber Daya Manusia Dalam Meningkatkan Mutu Pendidikan di MA Bertaraf Internasional Amanatul Ummah Pacet","type":"article-journal"},"uris":["http://www.mendeley.com/documents/?uuid=a66191bc-a783-49dc-86fa-c758f13067b9"]}],"mendeley":{"formattedCitation":"(Chotimah &amp; Nisa, 2019)","manualFormatting":"Chotimah &amp; Nisa, (2019)","plainTextFormattedCitation":"(Chotimah &amp; Nisa, 2019)","previouslyFormattedCitation":"(Chotimah &amp; Nisa, 2019)"},"properties":{"noteIndex":0},"schema":"https://github.com/citation-style-language/schema/raw/master/csl-citation.json"}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Chotimah &amp; Nisa, (2019)</w:t>
      </w:r>
      <w:r w:rsidRPr="004A2C47">
        <w:rPr>
          <w:rFonts w:ascii="Garamond" w:hAnsi="Garamond"/>
          <w:sz w:val="24"/>
          <w:szCs w:val="24"/>
          <w:lang w:val="en-ID"/>
        </w:rPr>
        <w:fldChar w:fldCharType="end"/>
      </w:r>
      <w:r w:rsidRPr="004A2C47">
        <w:rPr>
          <w:rFonts w:ascii="Garamond" w:hAnsi="Garamond"/>
          <w:sz w:val="24"/>
          <w:szCs w:val="24"/>
          <w:lang w:val="en-ID"/>
        </w:rPr>
        <w:t xml:space="preserve"> defines performance that is something results achieved by employees in his job according to criteria certain things that apply for something job. According to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{"citationItems":[{"id":"ITEM-1","itemData":{"DOI":"10.47467/mk.v21i2.935","ISSN":"1411-7673","abstract":"This paper aims to determine the role of human resource management in organizations. The writing of this paper uses the method of literature review (library research). From the discussion it can be concluded that human resource management has three functions, namely managerial functions, operational functions, and functions to achieve organizational goals in an integrated manner. Meanwhile, the duties of human resource management are staff procurement, human resource development, compensation management, occupational safety and health, labor relations and industrial relations. The main objective of human resource management is to increase the contribution of human resources (employees) to the organization. It can be understood that all organizational activities in achieving its goals depend on the humans who manage the organization. Therefore, employees must be managed properly so that they can assist the organization in achieving the organizational goals that have been determined. To achieve the objectives of human resource management carried out by HR managers, line managers and outsourcing.\r Keywords :  human Resource Management and organization\r  ","author":[{"dropping-particle":"","family":"Amelia","given":"Anika","non-dropping-particle":"","parse-names":false,"suffix":""},{"dropping-particle":"","family":"Manurung","given":"Khoirul Ardani","non-dropping-particle":"","parse-names":false,"suffix":""},{"dropping-particle":"","family":"Purnomo","given":"Daffa Baihaqi","non-dropping-particle":"","parse-names":false,"suffix":""}],"container-title":"Mimbar Kampus: Jurnal Pendidikan dan Agama Islam","id":"ITEM-1","issue":"2","issued":{"date-parts":[["2022"]]},"page":"128-138","title":"Peranan Manajemen Sumberdaya Manusia Dalam Organisasi","type":"article-journal","volume":"21"},"uris":["http://www.mendeley.com/documents/?uuid=d23b595f-d5d0-42f9-bfd1-5ab80b453cc4"]}],"mendeley":{"formattedCitation":"(Amelia et al., 2022)","manualFormatting":"Amelia et al (2022)","plainTextFormattedCitation":"(Amelia et al., 2022)","previouslyFormattedCitation":"(Amelia et al., 2022)"},"properties":{"noteIndex":0},"schema":"https://github.com/citation-style-language/schema/raw/master/csl-citation.json"}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Amelia et al (2022)</w:t>
      </w:r>
      <w:r w:rsidRPr="004A2C47">
        <w:rPr>
          <w:rFonts w:ascii="Garamond" w:hAnsi="Garamond"/>
          <w:sz w:val="24"/>
          <w:szCs w:val="24"/>
          <w:lang w:val="en-ID"/>
        </w:rPr>
        <w:fldChar w:fldCharType="end"/>
      </w:r>
      <w:r w:rsidRPr="004A2C47">
        <w:rPr>
          <w:rFonts w:ascii="Garamond" w:hAnsi="Garamond"/>
          <w:sz w:val="24"/>
          <w:szCs w:val="24"/>
          <w:lang w:val="en-ID"/>
        </w:rPr>
        <w:t xml:space="preserve"> performance is performance work, that is comparison between results Work with set standards. If results work a employee can fulfil standard so said that performance employee the good. As for factors negative that can be lower performance employee that is decline desire employee For reach performance work, level less absence, less accuracy time in solution work so that not enough obey regulations, as well as work programs that do not reached.</w:t>
      </w:r>
    </w:p>
    <w:p w14:paraId="42134175" w14:textId="77777777" w:rsidR="004A2C47" w:rsidRPr="004A2C47" w:rsidRDefault="004A2C47" w:rsidP="004A2C47">
      <w:pPr>
        <w:pStyle w:val="Body"/>
        <w:spacing w:line="240" w:lineRule="auto"/>
        <w:rPr>
          <w:rFonts w:ascii="Garamond" w:hAnsi="Garamond"/>
          <w:sz w:val="24"/>
          <w:szCs w:val="24"/>
          <w:lang w:val="en-ID"/>
        </w:rPr>
      </w:pPr>
      <w:r w:rsidRPr="004A2C47">
        <w:rPr>
          <w:rFonts w:ascii="Garamond" w:hAnsi="Garamond"/>
          <w:sz w:val="24"/>
          <w:szCs w:val="24"/>
          <w:lang w:val="en-ID"/>
        </w:rPr>
        <w:t xml:space="preserve">Factors that can influence performance employee is experience work. Experience Work obtained by employees who have own expertise in the job more many and expected will have experience in solve many kinds of problem, appropriate with the individual abilities of each employee. According to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{"citationItems":[{"id":"ITEM-1","itemData":{"abstract":"Penelitian ini merupakan penelitian kuantitatif, dengan mengambil tempat penelitian di Badan Penanggulangan Bencana Daerah (BPBD) Provinsi Banten. Data yang digunakan dalam penelitian ini adalah data primer dan sekunder yang diperoleh dari penyebaran kuesioner kepada para pegawai. Sampel yang digunakan berjumlah 83 responden pegawai BPBD Provinsi Banten baik yang berstatus PNS, Non-PNS dan SATGAS. Analisis data menggunakan teknik regresi linier sederhana menggunakan bantuan program SPSS. Hasil penelitian ini menunjukkan bahwa komunikasi berpengaruh secara positif dan signifikan terhadap kinerja pegawai BPBD Provinsi Banten dengan nilai t hitung sebesar 8,721 dengan tingkat signifikansi sebesar 0,000. Sedangkan koefisien determinasi (R2) yang didapat sebesar 0,481 yang artinya sebesar 48,1% variabel kinerja dapat dijelaskan oleh variabel komunikasi sisanya dijelaskan oleh variabel lain.","author":[{"dropping-particle":"","family":"Didi","given":"Wandi","non-dropping-particle":"","parse-names":false,"suffix":""},{"dropping-particle":"","family":"Adha","given":"Surhroji","non-dropping-particle":"","parse-names":false,"suffix":""},{"dropping-particle":"","family":"Asriyah","given":"Iyah","non-dropping-particle":"","parse-names":false,"suffix":""}],"container-title":"Jurnal Ekonomi Vokasi","id":"ITEM-1","issue":"2","issued":{"date-parts":[["2019"]]},"page":"18-30","title":"Pengaruh Komunikasi Terhadap Kinerja Pegawai Pada Badan Penanggulangan Bencana Daerah (Bpbd) Provinsi Banten","type":"article-journal","volume":"2"},"uris":["http://www.mendeley.com/documents/?uuid=10989d4f-ed5a-4cc1-ba72-112b5ac99b1d"]}],"mendeley":{"formattedCitation":"(Didi et al., 2019)","manualFormatting":"Didi et al (2019)","plainTextFormattedCitation":"(Didi et al., 2019)","previouslyFormattedCitation":"(Didi et al., 2019)"},"properties":{"noteIndex":0},"schema":"https://github.com/citation-style-language/schema/raw/master/csl-citation.json"}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Didi et al (2019)</w:t>
      </w:r>
      <w:r w:rsidRPr="004A2C47">
        <w:rPr>
          <w:rFonts w:ascii="Garamond" w:hAnsi="Garamond"/>
          <w:sz w:val="24"/>
          <w:szCs w:val="24"/>
          <w:lang w:val="en-ID"/>
        </w:rPr>
        <w:fldChar w:fldCharType="end"/>
      </w:r>
      <w:r w:rsidRPr="004A2C47">
        <w:rPr>
          <w:rFonts w:ascii="Garamond" w:hAnsi="Garamond"/>
          <w:sz w:val="24"/>
          <w:szCs w:val="24"/>
          <w:lang w:val="en-ID"/>
        </w:rPr>
        <w:t xml:space="preserve"> an applicant's work experience should receive primary consideration in the selection process. Experienced people are potential employees who are ready to use. So it cannot be denied that more work experience will support a person's success in carrying out his duties.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{"citationItems":[{"id":"ITEM-1","itemData":{"DOI":"10.31004/obsesi.v6i3.1738","abstract":"Kinerja guru dalam melakukan tugas dan tanggung jawab akan memberikan dampak yang besar terhadap tercapainya tujuan sebuah lembaga pendidikan. Tujuan tersebut akan tercapai jika kinerja kerja tersebut dipengaruhi gaya kepemimpinan kepala sekolah. Penelitian ini bertujuan untuk mengetahui kinerja guru pendidikan anak usia dini ditinjau dari gaya kepemimpinan kepala sekolah dan motivasi kerja. Adapun sampel pada penelitian ini yakni 56 orang guru Pendidikan anak usia dini di kota bandar lampung. Penelitian ini dilakukan dengan metode kuantitatif dengan melihat pengaruh dari variabel yang diteliti. Teknik pengumpulan data yang digunakan adalah kuisioner, dan dokumentasi. Teknik analisis data yang digunakan pada penelitian ini adalah regresi linier berganda. Hasil penelitian menunjukan bahwa gaya kepemimpinan kepala sekolah dan motivasi kerja guru Pendidikan Anak Usia Dini (PAUD) secara bersama-sama berpengaruh positif dan signifikan terhadap kinerja guru. Semakin tepat gaya kepemimpinan yang diterapkan, maka kinerja para guru akan semakin baik. Kinerja guru dapat ditingkatkan ketika para guru mempunyai motivasi kerja yang lebih baik","author":[{"dropping-particle":"","family":"Jaya","given":"Wayan Satria","non-dropping-particle":"","parse-names":false,"suffix":""}],"container-title":"Jurnal Obsesi : Jurnal Pendidikan Anak Usia Dini","id":"ITEM-1","issue":"3","issued":{"date-parts":[["2021"]]},"page":"1286-1294","title":"Kinerja Guru Ditinjau dari Gaya Kepemimpinan Kepala Sekolah dan Motivasi Kerja","type":"article-journal","volume":"6"},"uris":["http://www.mendeley.com/documents/?uuid=addf25c5-74a4-4bcf-99ae-5fd150ee0026"]}],"mendeley":{"formattedCitation":"(Jaya, 2021)","manualFormatting":"Jaya (2021)","plainTextFormattedCitation":"(Jaya, 2021)","previouslyFormattedCitation":"(Jaya, 2021)"},"properties":{"noteIndex":0},"schema":"https://github.com/citation-style-language/schema/raw/master/csl-citation.json"}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Jaya (2021)</w:t>
      </w:r>
      <w:r w:rsidRPr="004A2C47">
        <w:rPr>
          <w:rFonts w:ascii="Garamond" w:hAnsi="Garamond"/>
          <w:sz w:val="24"/>
          <w:szCs w:val="24"/>
          <w:lang w:val="en-ID"/>
        </w:rPr>
        <w:fldChar w:fldCharType="end"/>
      </w:r>
      <w:r w:rsidRPr="004A2C47">
        <w:rPr>
          <w:rFonts w:ascii="Garamond" w:hAnsi="Garamond"/>
          <w:sz w:val="24"/>
          <w:szCs w:val="24"/>
          <w:lang w:val="en-ID"/>
        </w:rPr>
        <w:t xml:space="preserve"> said that one business increase performance need done motivation work. According to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{"citationItems":[{"id":"ITEM-1","itemData":{"DOI":"10.12928/optimum.v12i2.5227","ISSN":"1411-6022","abstract":"The competitiveness of labor is a key factor to encourage the competitiveness of a country's economy. Indonesia has low labor competitiveness due to uncompetitive labor productivity. In addition, Indonesia has a trend of declining labor productivity growth, so more serious attention is needed to make labor productivity better. This study aims to analyze the effect of education, health, minimum wage, and foreign investment on labor productivity using panel data from 33 provinces of Indonesia in 2010-2019. This research used a multiple linear regression FEM with cross-section weight and coefficient covariance method cross-section SUR (PSCE). The result proved partially, health and minimum wage have a significant positive effect, while education and foreign investment have an insignificant positive effect on labor productivity. The most dominant independent variable is health. Simultaneously, the four independent variables have a significant effect on labor productivity in 33 provinces of Indonesia","author":[{"dropping-particle":"","family":"Maharani","given":"Nia Rizky","non-dropping-particle":"","parse-names":false,"suffix":""},{"dropping-particle":"","family":"Woyanti","given":"Nenik","non-dropping-particle":"","parse-names":false,"suffix":""}],"container-title":"Optimum: Jurnal Ekonomi dan Pembangunan","id":"ITEM-1","issue":"2","issued":{"date-parts":[["2023"]]},"page":"122-134","title":"The Effect of Education, Health, Minimum Wage, Foreign Investment on Labor Productivity in 33 Provinces of Indonesia","type":"article-journal","volume":"12"},"uris":["http://www.mendeley.com/documents/?uuid=85e229c4-1f90-454d-ac8b-d470ac87bce8"]}],"mendeley":{"formattedCitation":"(Maharani &amp; Woyanti, 2023)","manualFormatting":"Maharani &amp; Woyanti (2023)","plainTextFormattedCitation":"(Maharani &amp; Woyanti, 2023)","previouslyFormattedCitation":"(Maharani &amp; Woyanti, 2023)"},"properties":{"noteIndex":0},"schema":"https://github.com/citation-style-language/schema/raw/master/csl-citation.json"}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Maharani &amp; Woyanti (2023)</w:t>
      </w:r>
      <w:r w:rsidRPr="004A2C47">
        <w:rPr>
          <w:rFonts w:ascii="Garamond" w:hAnsi="Garamond"/>
          <w:sz w:val="24"/>
          <w:szCs w:val="24"/>
          <w:lang w:val="en-ID"/>
        </w:rPr>
        <w:fldChar w:fldCharType="end"/>
      </w:r>
      <w:r w:rsidRPr="004A2C47">
        <w:rPr>
          <w:rFonts w:ascii="Garamond" w:hAnsi="Garamond"/>
          <w:sz w:val="24"/>
          <w:szCs w:val="24"/>
          <w:lang w:val="en-ID"/>
        </w:rPr>
        <w:t xml:space="preserve"> understanding motivation is question how method push excitement work subordinates, order them want to work hard with give all abilities and skills for realize objective company.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{"citationItems":[{"id":"ITEM-1","itemData":{"DOI":"10.33541/jdp.v11i2.812","ISSN":"1410-4695","abstract":"ABSTRAK Setiap perusahaan dituntut untuk memiliki sumber daya manusia yang berkualitas dan berkarakter. Ketersediaan sumber daya manusia yang memenuhi kebutuhan perusahaan yang mempunyai kemampuan, pengetahuan dan keterampilan serta yang berkarakter, maka diperlukan suatu metode pengembangan sumber daya manusia. Salah satu cara atau  metode pengembangan sumber daya manusia adalah melalui pendidikan dan pelatihan. Tujuan penulisan ini untuk mengetahui faktor-faktor yang mempengaruhi manajemen pendidikan dan pelatihan (Diklat) dalam upaya pengembangan sumber daya manusia. Dalam mendiskripsikan analisis manajemen dan pelatihan, penulis menggunakan pendekatan sistem dimana dijabarkan terlebih dahulu mengenai konsep manajemen pendidikan dan pelatihan, kemudian bagaimana proses manajemen pendidikan dan pelatihan itu sendiri. Pendekatan yang kedua adalah pendekatan sumber masukan untuk menganalisis faktor-faktor yang dominan dalam manajemen pendidikan dan pelatihan. Terdapat paling sedikit tujuh faktor yang dominan, yaitu: 1) Penyelenggara Diklat; 2) Instruktur/Pelatih; 3) Peserta; 4) Perencanaan Kebutuhan Pendidikan dan Pelatihan; 5) Kurikulum; 6) Sarana dan Prasarana; 7) Pembiayaan. Kata kunci: Manajemen, Pendidikan, Pelatihan, Sumber daya manusia ABSTRACT Every company is required to have qualified human resources and character. The availability of human resources that meet the needs of companies that have the ability, knowledge and skills as well as the character, it is necessary a method of human resource development. One way or method of human resource development is through education and training. The purpose of this paper is to know the factors that influence the management of education and training (Diklat) in the effort of human resource development. In describing the analysis of management and training, the authors use a system approach where described first about the concept of management education and training, then how the process of management education and training itself. The second approach is the input source approach to analyze the dominant factors in education and training management. There are at least seven dominant factors, namely: 1) Training Providers; 2) Instructor / Trainer; 3) Training Participants; 4) Education and Training Needs Planning; 5) Curriculum; 6) Facilities and Infrastructure; 7) Financing Education and training. Keywords: Management, Education, Training, Human Resources","author":[{"dropping-particle":"","family":"Siregar","given":"Edison","non-dropping-particle":"","parse-names":false,"suffix":""}],"container-title":"Jurnal Dinamika Pendidikan","id":"ITEM-1","issue":"2","issued":{"date-parts":[["2018"]]},"page":"153","title":"Faktor-Faktor Yang Mempengaruhi Manajemen Pendidikan Dan Pelatihan (Diklat) Dalam Upaya Pengembangan Sumber Daya Manusia (Sdm)","type":"article-journal","volume":"11"},"uris":["http://www.mendeley.com/documents/?uuid=ccce791b-b72e-47f3-b692-13517beee7ac"]}],"mendeley":{"formattedCitation":"(Siregar, 2018)","manualFormatting":"Siregar (2018)","plainTextFormattedCitation":"(Siregar, 2018)","previouslyFormattedCitation":"(Siregar, 2018)"},"properties":{"noteIndex":0},"schema":"https://github.com/citation-style-language/schema/raw/master/csl-citation.json"}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Siregar (2018)</w:t>
      </w:r>
      <w:r w:rsidRPr="004A2C47">
        <w:rPr>
          <w:rFonts w:ascii="Garamond" w:hAnsi="Garamond"/>
          <w:sz w:val="24"/>
          <w:szCs w:val="24"/>
          <w:lang w:val="en-ID"/>
        </w:rPr>
        <w:fldChar w:fldCharType="end"/>
      </w:r>
      <w:r w:rsidRPr="004A2C47">
        <w:rPr>
          <w:rFonts w:ascii="Garamond" w:hAnsi="Garamond"/>
          <w:sz w:val="24"/>
          <w:szCs w:val="24"/>
          <w:lang w:val="en-ID"/>
        </w:rPr>
        <w:t xml:space="preserve"> explains the motivation that is formed from the attitude of employees in dealing with company work situations. Motivation is a condition or energy that can motivate employees to achieve company goals. The pro and positive attitude of employees towards work situations will strengthen their work motivation to achieve maximum performance. Whereas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{"citationItems":[{"id":"ITEM-1","itemData":{"DOI":"10.21831/amp.v6i2.8467","ISSN":"2337-7895","abstract":"Penelitian ini bertujuan untuk mengetahui pengaruh Kepemimpinan Kepala Sekolah, Komitmen Guru, Disiplin Kerja Guru, dan Budaya Sekolah terhadap Kinerja Guru di SMK Negeri Kabupaten Sleman Yogyakarta. Penelitian ini merupakan penelitian korelasional dengan menggunakan pendekatan kuantitatif. Populasi dalam penelitian ini adalah seluruh guru di SMK Negeri yang berada di Kabupaten Sleman yang berjumlah 659 orang. Penentuan ukuran sampel dalam penelitian ini menggunakan teknik random sampling dengan mengacu table Krejcie dan Morgan. Uji coba instrumen menggunakan uji validitas dan uji reliabilitas Alpha Cronbach’s. Teknik analisis data menggunakan uji prasyarat analisis yang meliputi uji normalitas, uji linieritas dan uji multikolinieritas. Pengujian hipotesis menggunakan analisis regresi dengan tingkat signifikansi ditentukan sebesar 5%. Hasil penelitian menunjukkan bahwa: (1) terdapat pengaruh yang positif dan signifikan kepemimpinan kepala sekolah terhadap kinerja guru; (2) terdapat pengaruh yang positif dan signifikan komitmen guru terhadap kinerja guru; (3) terdapat pengaruh yang positif dan signifikan disiplin guru terhadap kinerja guru sebesar; (4) terdapat pengaruh yang positif dan signifikan budaya sekolah terhadap kinerja guru; (5) terdapat pengaruh yang positif dan signifikan kinerja kepemimpinan, komitmen guru, disiplin kerja guru dan budaya sekolah secara simultan terhadap  kinerja guru.Kata Kunci: kepemimpinan kepala sekolah, komitmen, disiplin kerja, budaya sekolah, kinerja guru THE INFLUENCE OF PRINCIPAL’S LEADERSHIP, TEACHER’S COMMITMENT, TEACHER’S WORK DISCIPLINE, AND SCHOOL CULTURE ON VOCATIONAL HIGH SCHOOL TEACHER’S PERFORMANCEAbstractThis research is aimed to know the influence of  Principal’s Leadership, Teacher’s Commitment, Teacher’s Work Discipline, and School Culture on Teacher’s Performance in SMK Negeri in Sleman District. This research is a correlational design research that uses quantitative approach. Population in this research includes all teachers in SMK Negeri in Sleman District with a total of 659 persons. The sample measurement in this research applies random sampling technique by referring to Krejcie and Morgan table. The instrument trial uses Alpha Cronbach’s validity test and reliability test. The method of analyzing the data uses analysis precondition test which covers normality test, linearity test and multicollinearity test. The hypothesis proposal uses regression analysis with significance level determined by 5%. T…","author":[{"dropping-particle":"","family":"Purwoko","given":"Sidik","non-dropping-particle":"","parse-names":false,"suffix":""}],"container-title":"Jurnal Akuntabilitas Manajemen Pendidikan","id":"ITEM-1","issue":"2","issued":{"date-parts":[["2018"]]},"page":"150","title":"Pengaruh kepemimpinan kepala sekolah, komitmen guru, disiplin kerja guru, dan budaya sekolah terhadap kinerja guru SMK","type":"article-journal","volume":"6"},"uris":["http://www.mendeley.com/documents/?uuid=df3ad524-4f21-4328-b921-4b4bb8ad394d"]}],"mendeley":{"formattedCitation":"(Purwoko, 2018)","manualFormatting":"Purwoko (2018)","plainTextFormattedCitation":"(Purwoko, 2018)","previouslyFormattedCitation":"(Purwoko, 2018)"},"properties":{"noteIndex":0},"schema":"https://github.com/citation-style-language/schema/raw/master/csl-citation.json"}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Purwoko (2018)</w:t>
      </w:r>
      <w:r w:rsidRPr="004A2C47">
        <w:rPr>
          <w:rFonts w:ascii="Garamond" w:hAnsi="Garamond"/>
          <w:sz w:val="24"/>
          <w:szCs w:val="24"/>
          <w:lang w:val="en-ID"/>
        </w:rPr>
        <w:fldChar w:fldCharType="end"/>
      </w:r>
      <w:r w:rsidRPr="004A2C47">
        <w:rPr>
          <w:rFonts w:ascii="Garamond" w:hAnsi="Garamond"/>
          <w:sz w:val="24"/>
          <w:szCs w:val="24"/>
          <w:lang w:val="en-ID"/>
        </w:rPr>
        <w:t xml:space="preserve"> that motivation is something strength the potential that exists within self a human, who can developed Alone or developed by a number of strength beyond that at its core range around reward monetary and nonmonetary rewards, which can be influence results its performance in a manner positive or negative.</w:t>
      </w:r>
    </w:p>
    <w:p w14:paraId="4E84E655" w14:textId="66FF7AF1" w:rsidR="004A2C47" w:rsidRDefault="004A2C47" w:rsidP="004A2C47">
      <w:pPr>
        <w:pStyle w:val="Body"/>
        <w:spacing w:line="240" w:lineRule="auto"/>
        <w:rPr>
          <w:rFonts w:ascii="Garamond" w:hAnsi="Garamond"/>
          <w:sz w:val="24"/>
          <w:szCs w:val="24"/>
          <w:lang w:val="en-ID"/>
        </w:rPr>
      </w:pPr>
      <w:r w:rsidRPr="004A2C47">
        <w:rPr>
          <w:rFonts w:ascii="Garamond" w:hAnsi="Garamond"/>
          <w:sz w:val="24"/>
          <w:szCs w:val="24"/>
          <w:lang w:val="en-ID"/>
        </w:rPr>
        <w:t xml:space="preserve">Facts on the ground state that the quality of Indonesian teachers is still worrying. This can be seen from the 2021 UKG (Teacher Competency Test) which was released by npd.kemdikbud to around 1.6 million teachers, the results were not encouraging because most of the scores were below 50 out of the highest score of 100. In fact, nearly 130,000 teachers scored between 0 to 30. </w:t>
      </w:r>
      <w:r w:rsidRPr="004A2C47">
        <w:rPr>
          <w:rFonts w:ascii="Garamond" w:hAnsi="Garamond"/>
          <w:sz w:val="24"/>
          <w:szCs w:val="24"/>
          <w:lang w:val="en-ID"/>
        </w:rPr>
        <w:lastRenderedPageBreak/>
        <w:t xml:space="preserve">As for teachers whose teacher competency test results were above 60, there were only around 200,000 teachers. The UKG results are: portrait real question quality teacher performance. Furthermore , </w:t>
      </w:r>
      <w:r w:rsidRPr="004A2C47">
        <w:rPr>
          <w:rFonts w:ascii="Garamond" w:hAnsi="Garamond"/>
          <w:i/>
          <w:iCs/>
          <w:sz w:val="24"/>
          <w:szCs w:val="24"/>
          <w:lang w:val="en-ID"/>
        </w:rPr>
        <w:t xml:space="preserve">UNESCO (The United Nations Educational, Scientific and Cultural Organization) </w:t>
      </w:r>
      <w:r w:rsidRPr="004A2C47">
        <w:rPr>
          <w:rFonts w:ascii="Garamond" w:hAnsi="Garamond"/>
          <w:sz w:val="24"/>
          <w:szCs w:val="24"/>
          <w:lang w:val="en-ID"/>
        </w:rPr>
        <w:t xml:space="preserve">data in the 2016 GEM ( </w:t>
      </w:r>
      <w:r w:rsidRPr="004A2C47">
        <w:rPr>
          <w:rFonts w:ascii="Garamond" w:hAnsi="Garamond"/>
          <w:i/>
          <w:iCs/>
          <w:sz w:val="24"/>
          <w:szCs w:val="24"/>
          <w:lang w:val="en-ID"/>
        </w:rPr>
        <w:t xml:space="preserve">Global Education Report ) </w:t>
      </w:r>
      <w:r w:rsidRPr="004A2C47">
        <w:rPr>
          <w:rFonts w:ascii="Garamond" w:hAnsi="Garamond"/>
          <w:sz w:val="24"/>
          <w:szCs w:val="24"/>
          <w:lang w:val="en-ID"/>
        </w:rPr>
        <w:t>announced the quality of teachers in Indonesia as part important in education , is in order final For developing parts of the world. High school is long from School Upper Middle which is level formal education in Indonesia, in management public high school management government Now has changed become not quite enough answer government province</w:t>
      </w:r>
      <w:r>
        <w:rPr>
          <w:rFonts w:ascii="Garamond" w:hAnsi="Garamond"/>
          <w:sz w:val="24"/>
          <w:szCs w:val="24"/>
          <w:lang w:val="en-ID"/>
        </w:rPr>
        <w:t>.</w:t>
      </w:r>
    </w:p>
    <w:p w14:paraId="6BF838A9" w14:textId="4A49B7FC" w:rsidR="004A2C47" w:rsidRPr="004A2C47" w:rsidRDefault="004A2C47" w:rsidP="004A2C47">
      <w:pPr>
        <w:pStyle w:val="Body"/>
        <w:spacing w:line="240" w:lineRule="auto"/>
        <w:rPr>
          <w:rFonts w:ascii="Garamond" w:hAnsi="Garamond"/>
          <w:sz w:val="24"/>
          <w:szCs w:val="24"/>
          <w:lang w:val="en-ID"/>
        </w:rPr>
      </w:pPr>
      <w:r w:rsidRPr="004A2C47">
        <w:rPr>
          <w:rFonts w:ascii="Garamond" w:hAnsi="Garamond"/>
          <w:sz w:val="24"/>
          <w:szCs w:val="24"/>
        </w:rPr>
        <w:t xml:space="preserve">Study earlier about motivation to teacher performance, such as research conducted by  </w:t>
      </w:r>
      <w:r w:rsidRPr="004A2C47">
        <w:rPr>
          <w:rFonts w:ascii="Garamond" w:hAnsi="Garamond"/>
          <w:sz w:val="24"/>
          <w:szCs w:val="24"/>
        </w:rPr>
        <w:fldChar w:fldCharType="begin" w:fldLock="1"/>
      </w:r>
      <w:r w:rsidRPr="004A2C47">
        <w:rPr>
          <w:rFonts w:ascii="Garamond" w:hAnsi="Garamond"/>
          <w:sz w:val="24"/>
          <w:szCs w:val="24"/>
        </w:rPr>
        <w:instrText>ADDIN CSL_CITATION {"citationItems":[{"id":"ITEM-1","itemData":{"ISBN":"9788578110796","ISSN":"1098-6596","PMID":"25246403","abstract":"Penelitian ini bertujuan untuk mengungkapkan pengaruh: 1) kompetensi guru, 2) komitmen kerja guru, 3) motivasi kerja, dan 4) kompetensi guru, komitmen kerja, motivasi kerja terhadap kinerja guru di SMP-SMP negeri andalan di Kabupaten Sleman. Penelitian ini merupakan penelitian korelasional. Populasi penelitian ini adalah seluruh guru di SMP negeri andalan se Kabupaten Sleman Tahun Ajaran 2012/2013, meliputi guru-guru di SMPN 1 Godean, SMPN 1 Sleman, SMPN 3 Sleman, SMPN 4 Pakem, SMPN 4 Depok, SMPN 1 Depok, dan SMPN 1 Kalasan sebanyak 262 guru. Sampel sebesar 150 orang ditentukan menggunakan teknik proporsional random sampling. Data dikumpulkan melalui angket dan dianalisis menggunakan teknik analisis regresi ganda. Hasil penelitian menunjukkan bahwa: 1) kompetensi guru berpengaruh positif (b1= 0,380) dan signifikan (p=0,000) terhadap kinerja guru; 2) motivasi kerja berpengaruh positif (b3= 0,262) dan signifikan (p=0,000) terhadap kinerja guru; 3) komitmen kerja berpengaruh positif (b2= 0,325) dan signifikan (p=0,000) terhadap kinerja guru; dan 4) kompetensi guru, komitmen kerja dan motivasi kerja berpengaruh terhadap kinerja guru di SMP- SMP negeri andalan di Kabupaten Sleman. Kata number of formal charges, defining a domain of applicability for this approach.","author":[{"dropping-particle":"","family":"Sukamto","given":"Yohanes","non-dropping-particle":"","parse-names":false,"suffix":""},{"dropping-particle":"","family":"Pardjono","given":"","non-dropping-particle":"","parse-names":false,"suffix":""}],"container-title":"Journal of Chemical Information and Modeling","id":"ITEM-1","issue":"9","issued":{"date-parts":[["2016"]]},"page":"1689-1699","title":"Pengaruh Kompetensi dan Motivasi Terhadap Kinerja Guru SMP Andalan di Sleman","type":"article-journal","volume":"53"},"uris":["http://www.mendeley.com/documents/?uuid=6d0a7884-a3f5-4fbf-9917-4290e68cb4f5"]}],"mendeley":{"formattedCitation":"(Sukamto &amp; Pardjono, 2016)","manualFormatting":"Sukamto &amp; Pardjono (2016)","plainTextFormattedCitation":"(Sukamto &amp; Pardjono, 2016)","previouslyFormattedCitation":"(Sukamto &amp; Pardjono, 2016)"},"properties":{"noteIndex":0},"schema":"https://github.com/citation-style-language/schema/raw/master/csl-citation.json"}</w:instrText>
      </w:r>
      <w:r w:rsidRPr="004A2C47">
        <w:rPr>
          <w:rFonts w:ascii="Garamond" w:hAnsi="Garamond"/>
          <w:sz w:val="24"/>
          <w:szCs w:val="24"/>
        </w:rPr>
        <w:fldChar w:fldCharType="separate"/>
      </w:r>
      <w:r w:rsidRPr="004A2C47">
        <w:rPr>
          <w:rFonts w:ascii="Garamond" w:hAnsi="Garamond"/>
          <w:noProof/>
          <w:sz w:val="24"/>
          <w:szCs w:val="24"/>
        </w:rPr>
        <w:t>Sukamto &amp; Pardjono (2016)</w:t>
      </w:r>
      <w:r w:rsidRPr="004A2C47">
        <w:rPr>
          <w:rFonts w:ascii="Garamond" w:hAnsi="Garamond"/>
          <w:sz w:val="24"/>
          <w:szCs w:val="24"/>
          <w:lang w:val="en-ID"/>
        </w:rPr>
        <w:fldChar w:fldCharType="end"/>
      </w:r>
      <w:r w:rsidRPr="004A2C47">
        <w:rPr>
          <w:rFonts w:ascii="Garamond" w:hAnsi="Garamond"/>
          <w:sz w:val="24"/>
          <w:szCs w:val="24"/>
        </w:rPr>
        <w:t xml:space="preserve"> motivation influential negative significant to Ministry of Communication and Informatics teacher performance . Study the refuted by research conducted by </w:t>
      </w:r>
      <w:r w:rsidRPr="004A2C47">
        <w:rPr>
          <w:rFonts w:ascii="Garamond" w:hAnsi="Garamond"/>
          <w:sz w:val="24"/>
          <w:szCs w:val="24"/>
        </w:rPr>
        <w:fldChar w:fldCharType="begin" w:fldLock="1"/>
      </w:r>
      <w:r w:rsidRPr="004A2C47">
        <w:rPr>
          <w:rFonts w:ascii="Garamond" w:hAnsi="Garamond"/>
          <w:sz w:val="24"/>
          <w:szCs w:val="24"/>
        </w:rPr>
        <w:instrText>ADDIN CSL_CITATION {"citationItems":[{"id":"ITEM-1","itemData":{"author":[{"dropping-particle":"","family":"Pratiwi","given":"Edeline Ersanko","non-dropping-particle":"","parse-names":false,"suffix":""},{"dropping-particle":"","family":"Idawati","given":"Lusiana","non-dropping-particle":"","parse-names":false,"suffix":""}],"container-title":"Jurnal Nalar Pendidikan","id":"ITEM-1","issue":"1","issued":{"date-parts":[["2019"]]},"page":"85-93","title":"Influence of Service Leadership, Work Satisfaction, and Intrinsic Motivation Against Teacher Performance on Lentera Harapan Sangihe School","type":"article-journal","volume":"7"},"uris":["http://www.mendeley.com/documents/?uuid=ed274901-4992-4153-8c3f-19848a4652d5"]}],"mendeley":{"formattedCitation":"(Pratiwi &amp; Idawati, 2019)","manualFormatting":"Pratiwi &amp; Idawati (2019)","plainTextFormattedCitation":"(Pratiwi &amp; Idawati, 2019)","previouslyFormattedCitation":"(Pratiwi &amp; Idawati, 2019)"},"properties":{"noteIndex":0},"schema":"https://github.com/citation-style-language/schema/raw/master/csl-citation.json"}</w:instrText>
      </w:r>
      <w:r w:rsidRPr="004A2C47">
        <w:rPr>
          <w:rFonts w:ascii="Garamond" w:hAnsi="Garamond"/>
          <w:sz w:val="24"/>
          <w:szCs w:val="24"/>
        </w:rPr>
        <w:fldChar w:fldCharType="separate"/>
      </w:r>
      <w:r w:rsidRPr="004A2C47">
        <w:rPr>
          <w:rFonts w:ascii="Garamond" w:hAnsi="Garamond"/>
          <w:noProof/>
          <w:sz w:val="24"/>
          <w:szCs w:val="24"/>
        </w:rPr>
        <w:t>Pratiwi &amp; Idawati (2019)</w:t>
      </w:r>
      <w:r w:rsidRPr="004A2C47">
        <w:rPr>
          <w:rFonts w:ascii="Garamond" w:hAnsi="Garamond"/>
          <w:sz w:val="24"/>
          <w:szCs w:val="24"/>
          <w:lang w:val="en-ID"/>
        </w:rPr>
        <w:fldChar w:fldCharType="end"/>
      </w:r>
      <w:r w:rsidRPr="004A2C47">
        <w:rPr>
          <w:rFonts w:ascii="Garamond" w:hAnsi="Garamond"/>
          <w:sz w:val="24"/>
          <w:szCs w:val="24"/>
        </w:rPr>
        <w:t xml:space="preserve"> on motivation influential positive significant to teacher performance at Broadway Barbershop PT. Together with the Five Sons. Study about commitment to teacher performance is carried out by </w:t>
      </w:r>
      <w:r w:rsidRPr="004A2C47">
        <w:rPr>
          <w:rFonts w:ascii="Garamond" w:hAnsi="Garamond"/>
          <w:sz w:val="24"/>
          <w:szCs w:val="24"/>
        </w:rPr>
        <w:fldChar w:fldCharType="begin" w:fldLock="1"/>
      </w:r>
      <w:r w:rsidRPr="004A2C47">
        <w:rPr>
          <w:rFonts w:ascii="Garamond" w:hAnsi="Garamond"/>
          <w:sz w:val="24"/>
          <w:szCs w:val="24"/>
        </w:rPr>
        <w:instrText>ADDIN CSL_CITATION {"citationItems":[{"id":"ITEM-1","itemData":{"DOI":"10.37985/jer.v1i3.26","abstract":"Penelitian ini bertujuan untuk mendeskripsikan dan menyajikan mengenai implementasi manajemen sumber daya manusia melalui indikator perencanaan, rekrutmen, seleksi, orientasi dan penempatan, pelatihan dan pengembangan, dan penilaian kinerja di SMK Negeri 1 Lais serta hambatan-hambatan dalam implementasi manajemen sumber daya manusia di SMK Negeri 1 Lais Kabupaten Musi Banyuasin. Adapun pendekatan yang digunakan dalam penelitian ini adalah pendekatan kualitatif. Berdasarkan hasil analisis data, maka diketahui bahwa implementasi manajemen sumber daya manusia di SMK Negeri 1 Lais telah terlaksana dengan baik, ditandai dengan adanya penyusunan perencanaan sumber daya manusia, perekrutan sumber daya manusia yang profesionalisme dan transparan, pelaksanaan seleksi sumber daya manusia yang cukup profesional, pelaksanaan orientasi dan penempatan kerja yang memperhatikan kebutuhan sekolah dan kompetensi guru/karyawan, pelaksanaan pelatihan dan pengembangan yang terencana, dan penilaian kinerja. Walaupun dari segi seleksi, orientasi dan penempatan belum terlaksana dengan baik. Faktor penghambat implementasi manajemen sumber daya manusia yaitu: kurangnya kesejahteraan guru dan pegawai honorer, kurangnya kejelasan karier, dan penjaminan mutu","author":[{"dropping-particle":"","family":"Utamy","given":"Rahmah","non-dropping-particle":"","parse-names":false,"suffix":""},{"dropping-particle":"","family":"Ahmad","given":"Syarwani","non-dropping-particle":"","parse-names":false,"suffix":""},{"dropping-particle":"","family":"Eddy","given":"Syaiful","non-dropping-particle":"","parse-names":false,"suffix":""}],"container-title":"Journal of Education Research","id":"ITEM-1","issue":"3","issued":{"date-parts":[["2020"]]},"page":"225-236","title":"Implementasi Manajemen Sumber Daya Manusia","type":"article-journal","volume":"1"},"uris":["http://www.mendeley.com/documents/?uuid=1cf6de06-d9eb-457d-b962-5d0a494e4231"]}],"mendeley":{"formattedCitation":"(Utamy et al., 2020)","manualFormatting":"Utamy et al (2020)","plainTextFormattedCitation":"(Utamy et al., 2020)","previouslyFormattedCitation":"(Utamy et al., 2020)"},"properties":{"noteIndex":0},"schema":"https://github.com/citation-style-language/schema/raw/master/csl-citation.json"}</w:instrText>
      </w:r>
      <w:r w:rsidRPr="004A2C47">
        <w:rPr>
          <w:rFonts w:ascii="Garamond" w:hAnsi="Garamond"/>
          <w:sz w:val="24"/>
          <w:szCs w:val="24"/>
        </w:rPr>
        <w:fldChar w:fldCharType="separate"/>
      </w:r>
      <w:r w:rsidRPr="004A2C47">
        <w:rPr>
          <w:rFonts w:ascii="Garamond" w:hAnsi="Garamond"/>
          <w:noProof/>
          <w:sz w:val="24"/>
          <w:szCs w:val="24"/>
        </w:rPr>
        <w:t>Utamy et al (2020)</w:t>
      </w:r>
      <w:r w:rsidRPr="004A2C47">
        <w:rPr>
          <w:rFonts w:ascii="Garamond" w:hAnsi="Garamond"/>
          <w:sz w:val="24"/>
          <w:szCs w:val="24"/>
          <w:lang w:val="en-ID"/>
        </w:rPr>
        <w:fldChar w:fldCharType="end"/>
      </w:r>
      <w:r w:rsidRPr="004A2C47">
        <w:rPr>
          <w:rFonts w:ascii="Garamond" w:hAnsi="Garamond"/>
          <w:sz w:val="24"/>
          <w:szCs w:val="24"/>
        </w:rPr>
        <w:t xml:space="preserve"> commitment influential positive significant to PT teacher performance. Pelindo Surabaya. Study This get rebuttal from research conducted by </w:t>
      </w:r>
      <w:r w:rsidRPr="004A2C47">
        <w:rPr>
          <w:rFonts w:ascii="Garamond" w:hAnsi="Garamond"/>
          <w:sz w:val="24"/>
          <w:szCs w:val="24"/>
        </w:rPr>
        <w:fldChar w:fldCharType="begin" w:fldLock="1"/>
      </w:r>
      <w:r w:rsidRPr="004A2C47">
        <w:rPr>
          <w:rFonts w:ascii="Garamond" w:hAnsi="Garamond"/>
          <w:sz w:val="24"/>
          <w:szCs w:val="24"/>
        </w:rPr>
        <w:instrText>ADDIN CSL_CITATION {"citationItems":[{"id":"ITEM-1","itemData":{"DOI":"10.1080/21683603.2021.1925182","ISSN":"21683611","abstract":"Given the high importance of the teachers’ role in overall school improvement, there has been a strong tradition to investigate various factors affecting teachers’ motivation in developed countries. However, like other variables, the factors of intrinsic motivation may offer variance in developed and underdeveloped countries. Thus, this study investigated the importance of work environmental factors and the role of teachers’ individual differences in fostering intrinsic motivation by collecting data from 357 Pakistani secondary school teachers. Interpersonal relationships were found to be the highest source of teachers’ intrinsic motivation. The structural equation model revealed that school work environment variables: administrative support, working conditions, interpersonal relationships, promotion, colleagues’ support, and salary were significant factors in fostering teachers’ intrinsic motivation. Teachers’ individual differences in gender, academic and professional qualifications, and work experience also showed a significant role in explaining teachers’ intrinsic motivation although the extent of effect was smaller than work environmental factors. Female teachers and teachers possessing low qualifications and having work experience of 6–10 years were found more intrinsically motivated. Findings suggest that school administration ought to encourage strategies that foster teachers’ needs and expectations, particularly for mid-career teachers and those possessing higher qualifications.","author":[{"dropping-particle":"","family":"Bukhari","given":"Syed Gulzar Ali Shah","non-dropping-particle":"","parse-names":false,"suffix":""},{"dropping-particle":"","family":"Jamali","given":"Shireen Gul","non-dropping-particle":"","parse-names":false,"suffix":""},{"dropping-particle":"","family":"Larik","given":"Abdul Razaque","non-dropping-particle":"","parse-names":false,"suffix":""},{"dropping-particle":"","family":"Chang","given":"Muhammad Saleem","non-dropping-particle":"","parse-names":false,"suffix":""}],"container-title":"International Journal of School and Educational Psychology","id":"ITEM-1","issue":"1","issued":{"date-parts":[["2023"]]},"page":"1-19","publisher":"Routledge","title":"Fostering intrinsic motivation among teachers: Importance of work environment and individual differences","type":"article-journal","volume":"11"},"uris":["http://www.mendeley.com/documents/?uuid=ddd29984-9266-4044-a187-906e2268e9f5"]}],"mendeley":{"formattedCitation":"(Bukhari et al., 2023)","manualFormatting":"Bukhari et al (2023)","plainTextFormattedCitation":"(Bukhari et al., 2023)","previouslyFormattedCitation":"(Bukhari et al., 2023)"},"properties":{"noteIndex":0},"schema":"https://github.com/citation-style-language/schema/raw/master/csl-citation.json"}</w:instrText>
      </w:r>
      <w:r w:rsidRPr="004A2C47">
        <w:rPr>
          <w:rFonts w:ascii="Garamond" w:hAnsi="Garamond"/>
          <w:sz w:val="24"/>
          <w:szCs w:val="24"/>
        </w:rPr>
        <w:fldChar w:fldCharType="separate"/>
      </w:r>
      <w:r w:rsidRPr="004A2C47">
        <w:rPr>
          <w:rFonts w:ascii="Garamond" w:hAnsi="Garamond"/>
          <w:noProof/>
          <w:sz w:val="24"/>
          <w:szCs w:val="24"/>
        </w:rPr>
        <w:t>Bukhari et al (2023)</w:t>
      </w:r>
      <w:r w:rsidRPr="004A2C47">
        <w:rPr>
          <w:rFonts w:ascii="Garamond" w:hAnsi="Garamond"/>
          <w:sz w:val="24"/>
          <w:szCs w:val="24"/>
          <w:lang w:val="en-ID"/>
        </w:rPr>
        <w:fldChar w:fldCharType="end"/>
      </w:r>
      <w:r w:rsidRPr="004A2C47">
        <w:rPr>
          <w:rFonts w:ascii="Garamond" w:hAnsi="Garamond"/>
          <w:sz w:val="24"/>
          <w:szCs w:val="24"/>
        </w:rPr>
        <w:t xml:space="preserve"> commitment there is influence negative to PT teacher performance. Indra Kelana Yogyakarta. </w:t>
      </w:r>
      <w:r w:rsidRPr="004A2C47">
        <w:rPr>
          <w:rFonts w:ascii="Garamond" w:hAnsi="Garamond"/>
          <w:sz w:val="24"/>
          <w:szCs w:val="24"/>
        </w:rPr>
        <w:fldChar w:fldCharType="begin" w:fldLock="1"/>
      </w:r>
      <w:r w:rsidRPr="004A2C47">
        <w:rPr>
          <w:rFonts w:ascii="Garamond" w:hAnsi="Garamond"/>
          <w:sz w:val="24"/>
          <w:szCs w:val="24"/>
        </w:rPr>
        <w:instrText>ADDIN CSL_CITATION {"citationItems":[{"id":"ITEM-1","itemData":{"DOI":"10.1080/19345747.2018.1490471","ISSN":"19345739","abstract":"Like other public workers, teachers typically receive high and compressed ratings that do little to differentiate them based on performance. Motivated by empirical evidence of substantial variation in effectiveness among teachers, there has been a recent push to develop more informative evaluation systems with greater ratings dispersion. We study one of the first of these new systems, implemented in Tennessee, in order to understand how teachers respond to the provision of new, more differentiated performance ratings. We focus on whether summative ratings influence teachers’ self-reported, self-directed professional improvement activities as measured by four items on a statewide teacher survey. Using a regression discontinuity design we find no evidence that teachers alter their time investments in professional improvement, or adjust their professional improvement activities based on evaluation feedback, in response to their ratings.","author":[{"dropping-particle":"","family":"Koedel","given":"Cory","non-dropping-particle":"","parse-names":false,"suffix":""},{"dropping-particle":"","family":"Li","given":"Jiaxi","non-dropping-particle":"","parse-names":false,"suffix":""},{"dropping-particle":"","family":"Springer","given":"Matthew G.","non-dropping-particle":"","parse-names":false,"suffix":""},{"dropping-particle":"","family":"Tan","given":"Li","non-dropping-particle":"","parse-names":false,"suffix":""}],"container-title":"Journal of Research on Educational Effectiveness","id":"ITEM-1","issue":"1","issued":{"date-parts":[["2019"]]},"page":"90-115","publisher":"Routledge","title":"Teacher Performance Ratings and Professional Improvement","type":"article-journal","volume":"12"},"uris":["http://www.mendeley.com/documents/?uuid=d0e7a8de-c00c-4712-be26-8fc989bf0dd6"]}],"mendeley":{"formattedCitation":"(Koedel et al., 2019)","manualFormatting":"Koedel et al (2019)","plainTextFormattedCitation":"(Koedel et al., 2019)","previouslyFormattedCitation":"(Koedel et al., 2019)"},"properties":{"noteIndex":0},"schema":"https://github.com/citation-style-language/schema/raw/master/csl-citation.json"}</w:instrText>
      </w:r>
      <w:r w:rsidRPr="004A2C47">
        <w:rPr>
          <w:rFonts w:ascii="Garamond" w:hAnsi="Garamond"/>
          <w:sz w:val="24"/>
          <w:szCs w:val="24"/>
        </w:rPr>
        <w:fldChar w:fldCharType="separate"/>
      </w:r>
      <w:r w:rsidRPr="004A2C47">
        <w:rPr>
          <w:rFonts w:ascii="Garamond" w:hAnsi="Garamond"/>
          <w:noProof/>
          <w:sz w:val="24"/>
          <w:szCs w:val="24"/>
        </w:rPr>
        <w:t>Koedel et al (2019)</w:t>
      </w:r>
      <w:r w:rsidRPr="004A2C47">
        <w:rPr>
          <w:rFonts w:ascii="Garamond" w:hAnsi="Garamond"/>
          <w:sz w:val="24"/>
          <w:szCs w:val="24"/>
          <w:lang w:val="en-ID"/>
        </w:rPr>
        <w:fldChar w:fldCharType="end"/>
      </w:r>
      <w:r w:rsidRPr="004A2C47">
        <w:rPr>
          <w:rFonts w:ascii="Garamond" w:hAnsi="Garamond"/>
          <w:sz w:val="24"/>
          <w:szCs w:val="24"/>
        </w:rPr>
        <w:t xml:space="preserve"> states in a manner simultaneous influential </w:t>
      </w:r>
      <w:r w:rsidRPr="004A2C47">
        <w:rPr>
          <w:rFonts w:ascii="Garamond" w:hAnsi="Garamond"/>
          <w:sz w:val="24"/>
          <w:szCs w:val="24"/>
          <w:lang w:val="en-ID"/>
        </w:rPr>
        <w:t>positive significant about influence motivation and commitment to teacher performance at the Animal Husbandry Service Aceh Besar District.The results of</w:t>
      </w:r>
      <w:r>
        <w:rPr>
          <w:rFonts w:ascii="Garamond" w:hAnsi="Garamond"/>
          <w:sz w:val="24"/>
          <w:szCs w:val="24"/>
          <w:lang w:val="en-ID"/>
        </w:rPr>
        <w:t xml:space="preserve">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{"citationItems":[{"id":"ITEM-1","itemData":{"DOI":"10.46963/alliqo.v6i2.463","ISSN":"2461-033X","abstract":"This study aims to determine the effect of experience and professional competence on teacher performance in Madrasah Tsanawiyah Swasta, Sukajadi District, Pekanbaru. This research is field research, using a quantitative approach. research respondents amounted to 36 teachers. Data collection techniques using documentation, observation, and questionnaires. The data analysis technique used multiple linear regression formula. Based on the results of the study, it can be concluded that there is an effect of experience on teacher performance with a t value of 3.227 &gt; t table (2.034) and a value of f (0.003 &lt; 0.05), it can be concluded that experience has a significant effect on teacher performance. There is a professional influence on teacher performance with a t-count value of 9,024 ttable (2,034) and a f value (0.000 &lt;0.05), it can be concluded that teacher professional competence has a significant effect on teacher performance. And there is an effect of experience and professional competence on the performance of private Madrasah Tsanawiyah teachers, Sukajadi District, Pekanbaru, obtained the value of F arithmetic &gt; F table that is (192.063&gt; 2.034) with a significance value of &lt;0.05, which is 0.000. It can be concluded that the experience and professional competence of teachers have a significant effect. on teacher performance.","author":[{"dropping-particle":"","family":"Ritonga","given":"Taman Nilayta","non-dropping-particle":"","parse-names":false,"suffix":""}],"container-title":"Al-Liqo: Jurnal Pendidikan Islam","id":"ITEM-1","issue":"2","issued":{"date-parts":[["2021"]]},"page":"195-216","title":"Pengalaman dan Kompetensi Profesional Guru terhadap Kinerja Guru","type":"article-journal","volume":"6"},"uris":["http://www.mendeley.com/documents/?uuid=f3d1f284-830b-4939-baa8-50471320b2ec"]}],"mendeley":{"formattedCitation":"(Ritonga, 2021)","manualFormatting":"Ritonga (2021)","plainTextFormattedCitation":"(Ritonga, 2021)","previouslyFormattedCitation":"(Ritonga, 2021)"},"properties":{"noteIndex":0},"schema":"https://github.com/citation-style-language/schema/raw/master/csl-citation.json"}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Ritonga (2021)</w:t>
      </w:r>
      <w:r w:rsidRPr="004A2C47">
        <w:rPr>
          <w:rFonts w:ascii="Garamond" w:hAnsi="Garamond"/>
          <w:sz w:val="24"/>
          <w:szCs w:val="24"/>
          <w:lang w:val="en-ID"/>
        </w:rPr>
        <w:fldChar w:fldCharType="end"/>
      </w:r>
      <w:r w:rsidRPr="004A2C47">
        <w:rPr>
          <w:rFonts w:ascii="Garamond" w:hAnsi="Garamond"/>
          <w:sz w:val="24"/>
          <w:szCs w:val="24"/>
          <w:lang w:val="en-ID"/>
        </w:rPr>
        <w:t xml:space="preserve"> show that Leadership transformational No influential significant to commitment organization employees of the North Aceh Regency Islamic Sharia Service , satisfaction Work influential positive and significant to Commitment Organization employees of the North Aceh Regency Islamic Sharia Service , satisfaction Work mediate influence between characteristics Individual to commitment organization North Aceh Regency Islamic Sharia Service employees and satisfaction Work mediate influence between Leadership Transformational to commitment organization employee of the North Aceh Regency Islamic Sharia Service. Study </w:t>
      </w:r>
      <w:r w:rsidRPr="004A2C47">
        <w:rPr>
          <w:rFonts w:ascii="Garamond" w:hAnsi="Garamond"/>
          <w:sz w:val="24"/>
          <w:szCs w:val="24"/>
          <w:lang w:val="en-ID"/>
        </w:rPr>
        <w:fldChar w:fldCharType="begin" w:fldLock="1"/>
      </w:r>
      <w:r w:rsidRPr="004A2C47">
        <w:rPr>
          <w:rFonts w:ascii="Garamond" w:hAnsi="Garamond"/>
          <w:sz w:val="24"/>
          <w:szCs w:val="24"/>
          <w:lang w:val="en-ID"/>
        </w:rPr>
        <w:instrText>ADDIN CSL_CITATION {"citationItems":[{"id":"ITEM-1","itemData":{"DOI":"10.1080/02529203.2021.1895501","ISSN":"19405952","abstract":"Since New Public Management theory, which seeks to promote public management reform with the techniques used to catalyze economic development, was introduced into the field of education, it has led to the implementation of education accountability measures and reforms focusing on performance-related pay for teachers. Performance-related pay was meant to improve teacher performance, and has played an important role in providing teachers with incentives and raising educational quality. In practice, however, problems have emerged that deserve serious attention. For example, the evaluation indicators based on this theory have distorted the direction of public management due to their over-emphasis on instrumental rationality and neglect of value rationality. Further, they highlight the interim goal of “instilling knowledge” at the cost of the fundamental aim of “cultivating talent,” thus producing results opposite to those intended. On the basis of the value rationality of education and China’s reality, this paper suggests that educational institutions should shift from “New Public Management” to a “holistic and decentralized governance” approach, fostering an environment dedicated to cultivating talent and introducing this feature into the evaluation of teacher performance. The core socialist values need to be integrated into teacher policy and internalized by teachers as their emotional identity and customary behavior.","author":[{"dropping-particle":"","family":"Xuqun","given":"You","non-dropping-particle":"","parse-names":false,"suffix":""}],"container-title":"Social Sciences in China","id":"ITEM-1","issue":"1","issued":{"date-parts":[["2021"]]},"page":"135-157","title":"Establishing a Teacher Performance Evaluation System Geared to the Cultivation of Character: With a Reflection on New Public Management Theory","type":"article-journal","volume":"42"},"uris":["http://www.mendeley.com/documents/?uuid=8d947145-d064-4fab-a76c-60941615b17d"]}],"mendeley":{"formattedCitation":"(Xuqun, 2021)","manualFormatting":"Xuqun (2021)","plainTextFormattedCitation":"(Xuqun, 2021)","previouslyFormattedCitation":"(Xuqun, 2021)"},"properties":{"noteIndex":0},"schema":"https://github.com/citation-style-language/schema/raw/master/csl-citation.json"}</w:instrText>
      </w:r>
      <w:r w:rsidRPr="004A2C47">
        <w:rPr>
          <w:rFonts w:ascii="Garamond" w:hAnsi="Garamond"/>
          <w:sz w:val="24"/>
          <w:szCs w:val="24"/>
          <w:lang w:val="en-ID"/>
        </w:rPr>
        <w:fldChar w:fldCharType="separate"/>
      </w:r>
      <w:r w:rsidRPr="004A2C47">
        <w:rPr>
          <w:rFonts w:ascii="Garamond" w:hAnsi="Garamond"/>
          <w:noProof/>
          <w:sz w:val="24"/>
          <w:szCs w:val="24"/>
          <w:lang w:val="en-ID"/>
        </w:rPr>
        <w:t>Xuqun (2021)</w:t>
      </w:r>
      <w:r w:rsidRPr="004A2C47">
        <w:rPr>
          <w:rFonts w:ascii="Garamond" w:hAnsi="Garamond"/>
          <w:sz w:val="24"/>
          <w:szCs w:val="24"/>
          <w:lang w:val="en-ID"/>
        </w:rPr>
        <w:fldChar w:fldCharType="end"/>
      </w:r>
      <w:r w:rsidRPr="004A2C47">
        <w:rPr>
          <w:rFonts w:ascii="Garamond" w:hAnsi="Garamond"/>
          <w:sz w:val="24"/>
          <w:szCs w:val="24"/>
          <w:lang w:val="en-ID"/>
        </w:rPr>
        <w:t xml:space="preserve"> stated that motivation work and commitment organization influential to teacher performance. Culture organization as variable moderation strengthen motivation work and commitment organization to teacher performance at the Guidance Institute Studying in Bandar Lampung.</w:t>
      </w:r>
    </w:p>
    <w:p w14:paraId="370572B4" w14:textId="52EFEB2D" w:rsidR="004A2C47" w:rsidRPr="004A2C47" w:rsidRDefault="004A2C47" w:rsidP="004A2C47">
      <w:pPr>
        <w:pStyle w:val="Body"/>
        <w:spacing w:line="240" w:lineRule="auto"/>
        <w:rPr>
          <w:rFonts w:ascii="Garamond" w:hAnsi="Garamond"/>
          <w:sz w:val="24"/>
          <w:szCs w:val="24"/>
          <w:lang w:val="en-ID"/>
        </w:rPr>
      </w:pPr>
      <w:r w:rsidRPr="004A2C47">
        <w:rPr>
          <w:rFonts w:ascii="Garamond" w:hAnsi="Garamond"/>
          <w:sz w:val="24"/>
          <w:szCs w:val="24"/>
          <w:lang w:val="en-ID"/>
        </w:rPr>
        <w:t>Employee in the environment school (teacher) is very important for Indonesia especially also in the environment working at a State High School in Bandar Lampung City.</w:t>
      </w:r>
      <w:r w:rsidR="00792453">
        <w:rPr>
          <w:rFonts w:ascii="Garamond" w:hAnsi="Garamond"/>
          <w:sz w:val="24"/>
          <w:szCs w:val="24"/>
          <w:lang w:val="en-ID"/>
        </w:rPr>
        <w:t xml:space="preserve"> </w:t>
      </w:r>
      <w:r w:rsidRPr="004A2C47">
        <w:rPr>
          <w:rFonts w:ascii="Garamond" w:hAnsi="Garamond"/>
          <w:sz w:val="24"/>
          <w:szCs w:val="24"/>
          <w:lang w:val="en-ID"/>
        </w:rPr>
        <w:t>Therefore that experience work and motivation performance employees at school (teachers) with commitment as variable mediation is very necessary for push development teacher performance in the environment school. Thus, this research will study the influence of work experience and motivation on teacher performance with commitment as a mediating variable at State High Schools in Bandar Lampung City.</w:t>
      </w:r>
    </w:p>
    <w:p w14:paraId="0D2FA053" w14:textId="77777777" w:rsidR="00210C56" w:rsidRDefault="003B3F03" w:rsidP="00210C56">
      <w:pPr>
        <w:pStyle w:val="Heading1"/>
        <w:spacing w:before="360"/>
        <w:jc w:val="both"/>
        <w:rPr>
          <w:lang w:eastAsia="id-ID"/>
        </w:rPr>
      </w:pPr>
      <w:r>
        <w:rPr>
          <w:lang w:val="id-ID" w:eastAsia="id-ID"/>
        </w:rPr>
        <w:t>MET</w:t>
      </w:r>
      <w:r w:rsidR="004B3AE8">
        <w:rPr>
          <w:lang w:eastAsia="id-ID"/>
        </w:rPr>
        <w:t>H</w:t>
      </w:r>
      <w:r w:rsidR="004B3AE8">
        <w:rPr>
          <w:lang w:val="id-ID" w:eastAsia="id-ID"/>
        </w:rPr>
        <w:t>OD</w:t>
      </w:r>
    </w:p>
    <w:p w14:paraId="36A79C1D" w14:textId="52C76297" w:rsidR="00210C56" w:rsidRDefault="00210C56" w:rsidP="00210C56">
      <w:pPr>
        <w:pStyle w:val="Heading1"/>
        <w:spacing w:before="360"/>
        <w:ind w:firstLine="426"/>
        <w:jc w:val="both"/>
        <w:rPr>
          <w:rStyle w:val="tlid-translation"/>
          <w:b w:val="0"/>
          <w:bCs w:val="0"/>
          <w:caps w:val="0"/>
          <w:kern w:val="0"/>
          <w:szCs w:val="22"/>
          <w:lang w:eastAsia="id-ID"/>
        </w:rPr>
      </w:pPr>
      <w:r w:rsidRPr="00210C56">
        <w:rPr>
          <w:rStyle w:val="tlid-translation"/>
          <w:b w:val="0"/>
          <w:bCs w:val="0"/>
          <w:caps w:val="0"/>
          <w:kern w:val="0"/>
          <w:szCs w:val="22"/>
          <w:lang w:val="id-ID" w:eastAsia="id-ID"/>
        </w:rPr>
        <w:t>The type of research used that is study quantitative which is where the data is expressed in numbers and analyzed with statistical techniques that is analysis descriptive, Structural Equation Modeling (SEM) and judging coefficient track using the t test. Population in study This namely teachers at Public High Schools 1 through with SMA Negeri 17 Bandar Lampung as many as 895 people. Taking sample study using the Slovin technique , which is where use formula with level desired precision. So that amount sample research used is 224 teachers</w:t>
      </w:r>
      <w:r>
        <w:rPr>
          <w:rStyle w:val="tlid-translation"/>
          <w:b w:val="0"/>
          <w:bCs w:val="0"/>
          <w:caps w:val="0"/>
          <w:kern w:val="0"/>
          <w:szCs w:val="22"/>
          <w:lang w:eastAsia="id-ID"/>
        </w:rPr>
        <w:t xml:space="preserve">. </w:t>
      </w:r>
      <w:r w:rsidRPr="00210C56">
        <w:rPr>
          <w:rStyle w:val="tlid-translation"/>
          <w:b w:val="0"/>
          <w:bCs w:val="0"/>
          <w:caps w:val="0"/>
          <w:kern w:val="0"/>
          <w:szCs w:val="22"/>
          <w:lang w:val="id-ID" w:eastAsia="id-ID"/>
        </w:rPr>
        <w:t>Data collection techniques for each variable use surveys by interview, questionnaires using a Likert scale on score weights, namely. Strongly Agree (SS) with a score of 5, Agree (S), Disagree with a score of 4, Neutral (N) with a score of (3), Disagree (TS) with a score of 2, and Strongly Disagree (STS) with a score of 1.</w:t>
      </w:r>
      <w:r>
        <w:rPr>
          <w:rStyle w:val="tlid-translation"/>
          <w:b w:val="0"/>
          <w:bCs w:val="0"/>
          <w:caps w:val="0"/>
          <w:kern w:val="0"/>
          <w:szCs w:val="22"/>
          <w:lang w:eastAsia="id-ID"/>
        </w:rPr>
        <w:t xml:space="preserve"> </w:t>
      </w:r>
    </w:p>
    <w:p w14:paraId="07D8D038" w14:textId="77777777" w:rsidR="00210C56" w:rsidRPr="00210C56" w:rsidRDefault="00210C56" w:rsidP="00210C56">
      <w:pPr>
        <w:rPr>
          <w:lang w:eastAsia="id-ID"/>
        </w:rPr>
      </w:pPr>
    </w:p>
    <w:p w14:paraId="4572A3DE" w14:textId="149070EB" w:rsidR="00210C56" w:rsidRPr="00210C56" w:rsidRDefault="00210C56" w:rsidP="00210C56">
      <w:pPr>
        <w:pStyle w:val="Heading1"/>
        <w:spacing w:before="360"/>
        <w:ind w:firstLine="426"/>
        <w:jc w:val="both"/>
        <w:rPr>
          <w:lang w:eastAsia="id-ID"/>
        </w:rPr>
      </w:pPr>
      <w:r>
        <w:rPr>
          <w:rStyle w:val="tlid-translation"/>
          <w:b w:val="0"/>
          <w:bCs w:val="0"/>
          <w:caps w:val="0"/>
          <w:kern w:val="0"/>
          <w:szCs w:val="22"/>
          <w:lang w:eastAsia="id-ID"/>
        </w:rPr>
        <w:lastRenderedPageBreak/>
        <w:t>T</w:t>
      </w:r>
      <w:r w:rsidRPr="00210C56">
        <w:rPr>
          <w:rStyle w:val="tlid-translation"/>
          <w:b w:val="0"/>
          <w:bCs w:val="0"/>
          <w:caps w:val="0"/>
          <w:kern w:val="0"/>
          <w:szCs w:val="22"/>
          <w:lang w:val="id-ID" w:eastAsia="id-ID"/>
        </w:rPr>
        <w:t>he data analysis technique uses statistical analysis tests, namely empirical analysis with a description of the information obtained to provide an overview/describe an event (who/what, when, where, how, how much) collected in the research. The data comes from the answers given by respondents to the items contained in the questionnaire. Then, it was analyzed using Structural Equation Modeling (SEM), where the multivariate analysis used SPSS 25 for Windows software. The stages of multivariate analysis are</w:t>
      </w:r>
      <w:r>
        <w:rPr>
          <w:rStyle w:val="tlid-translation"/>
          <w:b w:val="0"/>
          <w:bCs w:val="0"/>
          <w:caps w:val="0"/>
          <w:kern w:val="0"/>
          <w:szCs w:val="22"/>
          <w:lang w:eastAsia="id-ID"/>
        </w:rPr>
        <w:t>, (1) Equation Model Specifications Structural, (2) Identification of Equation Models Structural. (3) Model Estimation, (4) Model Fit Test).</w:t>
      </w:r>
    </w:p>
    <w:p w14:paraId="5CAFBA90" w14:textId="72799AEB" w:rsidR="00CA7F4C" w:rsidRDefault="004B3AE8" w:rsidP="00210C56">
      <w:pPr>
        <w:pStyle w:val="Heading1"/>
        <w:spacing w:before="360"/>
        <w:rPr>
          <w:lang w:val="id-ID" w:eastAsia="id-ID"/>
        </w:rPr>
      </w:pPr>
      <w:r>
        <w:rPr>
          <w:lang w:eastAsia="id-ID"/>
        </w:rPr>
        <w:t>RESULT AND DISCUSSION</w:t>
      </w:r>
    </w:p>
    <w:p w14:paraId="70C5343A" w14:textId="3C7E3665" w:rsidR="00210C56" w:rsidRPr="00210C56" w:rsidRDefault="004B3AE8" w:rsidP="00210C56">
      <w:pPr>
        <w:pStyle w:val="7SubBagian-SubSection"/>
        <w:spacing w:before="120"/>
        <w:rPr>
          <w:rFonts w:ascii="Garamond" w:hAnsi="Garamond"/>
          <w:lang w:eastAsia="id-ID"/>
        </w:rPr>
      </w:pPr>
      <w:r>
        <w:rPr>
          <w:rFonts w:ascii="Garamond" w:hAnsi="Garamond"/>
          <w:lang w:eastAsia="id-ID"/>
        </w:rPr>
        <w:t xml:space="preserve">Result </w:t>
      </w:r>
    </w:p>
    <w:p w14:paraId="1DC349E0" w14:textId="42A70A85" w:rsidR="00210C56" w:rsidRPr="00C523E1" w:rsidRDefault="00210C56" w:rsidP="00210C56">
      <w:pPr>
        <w:pStyle w:val="GambarTabel"/>
        <w:rPr>
          <w:rFonts w:ascii="Garamond" w:hAnsi="Garamond"/>
          <w:sz w:val="20"/>
          <w:szCs w:val="20"/>
          <w:lang w:val="en-US"/>
        </w:rPr>
      </w:pPr>
      <w:r w:rsidRPr="00C523E1">
        <w:rPr>
          <w:rFonts w:ascii="Garamond" w:hAnsi="Garamond"/>
          <w:sz w:val="20"/>
          <w:szCs w:val="20"/>
        </w:rPr>
        <w:t xml:space="preserve">Table </w:t>
      </w:r>
      <w:r w:rsidRPr="00C523E1">
        <w:rPr>
          <w:rFonts w:ascii="Garamond" w:hAnsi="Garamond"/>
          <w:sz w:val="20"/>
          <w:szCs w:val="20"/>
          <w:lang w:val="en-US"/>
        </w:rPr>
        <w:t>1</w:t>
      </w:r>
      <w:r w:rsidRPr="00C523E1">
        <w:rPr>
          <w:rFonts w:ascii="Garamond" w:hAnsi="Garamond"/>
          <w:sz w:val="20"/>
          <w:szCs w:val="20"/>
        </w:rPr>
        <w:t xml:space="preserve">. </w:t>
      </w:r>
      <w:r w:rsidRPr="00C523E1">
        <w:rPr>
          <w:rFonts w:ascii="Garamond" w:hAnsi="Garamond"/>
          <w:sz w:val="20"/>
          <w:szCs w:val="20"/>
          <w:lang w:val="en-US"/>
        </w:rPr>
        <w:t>Analysis Results Descriptive</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60" w:firstRow="1" w:lastRow="1" w:firstColumn="0" w:lastColumn="1" w:noHBand="0" w:noVBand="0"/>
      </w:tblPr>
      <w:tblGrid>
        <w:gridCol w:w="1858"/>
        <w:gridCol w:w="804"/>
        <w:gridCol w:w="1482"/>
        <w:gridCol w:w="1477"/>
        <w:gridCol w:w="1833"/>
        <w:gridCol w:w="1833"/>
      </w:tblGrid>
      <w:tr w:rsidR="006364C1" w:rsidRPr="00C523E1" w14:paraId="195A4AF1" w14:textId="77777777" w:rsidTr="006364C1">
        <w:trPr>
          <w:trHeight w:val="319"/>
          <w:jc w:val="center"/>
        </w:trPr>
        <w:tc>
          <w:tcPr>
            <w:tcW w:w="1000" w:type="pct"/>
            <w:tcBorders>
              <w:left w:val="nil"/>
              <w:right w:val="nil"/>
            </w:tcBorders>
            <w:vAlign w:val="center"/>
          </w:tcPr>
          <w:p w14:paraId="67F5DF5A" w14:textId="77777777" w:rsidR="00210C56" w:rsidRPr="00C523E1" w:rsidRDefault="00210C56" w:rsidP="00C523E1">
            <w:pPr>
              <w:pStyle w:val="tablecolsubhead"/>
              <w:rPr>
                <w:rFonts w:ascii="Garamond" w:hAnsi="Garamond"/>
                <w:i w:val="0"/>
                <w:iCs/>
              </w:rPr>
            </w:pPr>
            <w:r w:rsidRPr="00C523E1">
              <w:rPr>
                <w:rFonts w:ascii="Garamond" w:hAnsi="Garamond"/>
                <w:i w:val="0"/>
                <w:iCs/>
              </w:rPr>
              <w:t>Variable</w:t>
            </w:r>
          </w:p>
        </w:tc>
        <w:tc>
          <w:tcPr>
            <w:tcW w:w="433" w:type="pct"/>
            <w:tcBorders>
              <w:left w:val="nil"/>
              <w:right w:val="nil"/>
            </w:tcBorders>
            <w:vAlign w:val="center"/>
          </w:tcPr>
          <w:p w14:paraId="5E867CC0" w14:textId="77777777" w:rsidR="00210C56" w:rsidRPr="00C523E1" w:rsidRDefault="00210C56" w:rsidP="00C523E1">
            <w:pPr>
              <w:pStyle w:val="tablecolsubhead"/>
              <w:rPr>
                <w:rFonts w:ascii="Garamond" w:hAnsi="Garamond"/>
                <w:i w:val="0"/>
                <w:iCs/>
              </w:rPr>
            </w:pPr>
            <w:r w:rsidRPr="00C523E1">
              <w:rPr>
                <w:rFonts w:ascii="Garamond" w:hAnsi="Garamond"/>
                <w:i w:val="0"/>
                <w:iCs/>
              </w:rPr>
              <w:t>N</w:t>
            </w:r>
          </w:p>
        </w:tc>
        <w:tc>
          <w:tcPr>
            <w:tcW w:w="798" w:type="pct"/>
            <w:tcBorders>
              <w:left w:val="nil"/>
              <w:right w:val="nil"/>
            </w:tcBorders>
            <w:vAlign w:val="center"/>
          </w:tcPr>
          <w:p w14:paraId="686CB1A8" w14:textId="77777777" w:rsidR="00210C56" w:rsidRPr="00C523E1" w:rsidRDefault="00210C56" w:rsidP="00C523E1">
            <w:pPr>
              <w:pStyle w:val="tablecolsubhead"/>
              <w:rPr>
                <w:rFonts w:ascii="Garamond" w:hAnsi="Garamond"/>
                <w:i w:val="0"/>
                <w:iCs/>
              </w:rPr>
            </w:pPr>
            <w:r w:rsidRPr="00C523E1">
              <w:rPr>
                <w:rFonts w:ascii="Garamond" w:hAnsi="Garamond"/>
                <w:i w:val="0"/>
                <w:iCs/>
              </w:rPr>
              <w:t>Minimum</w:t>
            </w:r>
          </w:p>
        </w:tc>
        <w:tc>
          <w:tcPr>
            <w:tcW w:w="795" w:type="pct"/>
            <w:tcBorders>
              <w:left w:val="nil"/>
              <w:right w:val="nil"/>
            </w:tcBorders>
            <w:vAlign w:val="center"/>
          </w:tcPr>
          <w:p w14:paraId="2CE8670E" w14:textId="77777777" w:rsidR="00210C56" w:rsidRPr="00C523E1" w:rsidRDefault="00210C56" w:rsidP="00C523E1">
            <w:pPr>
              <w:pStyle w:val="tablecolsubhead"/>
              <w:rPr>
                <w:rFonts w:ascii="Garamond" w:hAnsi="Garamond"/>
                <w:i w:val="0"/>
                <w:iCs/>
              </w:rPr>
            </w:pPr>
            <w:r w:rsidRPr="00C523E1">
              <w:rPr>
                <w:rFonts w:ascii="Garamond" w:hAnsi="Garamond"/>
                <w:i w:val="0"/>
                <w:iCs/>
              </w:rPr>
              <w:t>Maximum</w:t>
            </w:r>
          </w:p>
        </w:tc>
        <w:tc>
          <w:tcPr>
            <w:tcW w:w="987" w:type="pct"/>
            <w:tcBorders>
              <w:left w:val="nil"/>
              <w:right w:val="nil"/>
            </w:tcBorders>
          </w:tcPr>
          <w:p w14:paraId="6AC64293" w14:textId="77777777" w:rsidR="00210C56" w:rsidRPr="00C523E1" w:rsidRDefault="00210C56" w:rsidP="00C523E1">
            <w:pPr>
              <w:pStyle w:val="tablecolsubhead"/>
              <w:rPr>
                <w:rFonts w:ascii="Garamond" w:hAnsi="Garamond"/>
                <w:i w:val="0"/>
                <w:iCs/>
              </w:rPr>
            </w:pPr>
            <w:r w:rsidRPr="00C523E1">
              <w:rPr>
                <w:rFonts w:ascii="Garamond" w:hAnsi="Garamond"/>
                <w:i w:val="0"/>
                <w:iCs/>
              </w:rPr>
              <w:t>Means</w:t>
            </w:r>
          </w:p>
        </w:tc>
        <w:tc>
          <w:tcPr>
            <w:tcW w:w="987" w:type="pct"/>
            <w:tcBorders>
              <w:left w:val="nil"/>
              <w:right w:val="nil"/>
            </w:tcBorders>
          </w:tcPr>
          <w:p w14:paraId="52F4EDF9" w14:textId="77777777" w:rsidR="00210C56" w:rsidRPr="00C523E1" w:rsidRDefault="00210C56" w:rsidP="00C523E1">
            <w:pPr>
              <w:pStyle w:val="tablecolsubhead"/>
              <w:rPr>
                <w:rFonts w:ascii="Garamond" w:hAnsi="Garamond"/>
                <w:i w:val="0"/>
                <w:iCs/>
              </w:rPr>
            </w:pPr>
            <w:r w:rsidRPr="00C523E1">
              <w:rPr>
                <w:rFonts w:ascii="Garamond" w:hAnsi="Garamond"/>
                <w:i w:val="0"/>
                <w:iCs/>
              </w:rPr>
              <w:t>Std. Deviation</w:t>
            </w:r>
          </w:p>
        </w:tc>
      </w:tr>
      <w:tr w:rsidR="006364C1" w:rsidRPr="00C523E1" w14:paraId="41CEE91B" w14:textId="77777777" w:rsidTr="006364C1">
        <w:trPr>
          <w:trHeight w:val="319"/>
          <w:jc w:val="center"/>
        </w:trPr>
        <w:tc>
          <w:tcPr>
            <w:tcW w:w="1000" w:type="pct"/>
            <w:tcBorders>
              <w:left w:val="nil"/>
              <w:right w:val="nil"/>
            </w:tcBorders>
            <w:vAlign w:val="center"/>
          </w:tcPr>
          <w:p w14:paraId="37F9BF17" w14:textId="77777777" w:rsidR="00210C56" w:rsidRPr="00C523E1" w:rsidRDefault="00210C56" w:rsidP="00C523E1">
            <w:pPr>
              <w:pStyle w:val="tablecopy"/>
              <w:rPr>
                <w:rFonts w:ascii="Garamond" w:hAnsi="Garamond"/>
              </w:rPr>
            </w:pPr>
            <w:r w:rsidRPr="00C523E1">
              <w:rPr>
                <w:rFonts w:ascii="Garamond" w:hAnsi="Garamond"/>
              </w:rPr>
              <w:t>Experience Work</w:t>
            </w:r>
          </w:p>
        </w:tc>
        <w:tc>
          <w:tcPr>
            <w:tcW w:w="433" w:type="pct"/>
            <w:tcBorders>
              <w:left w:val="nil"/>
              <w:right w:val="nil"/>
            </w:tcBorders>
            <w:vAlign w:val="center"/>
          </w:tcPr>
          <w:p w14:paraId="0324B066" w14:textId="77777777" w:rsidR="00210C56" w:rsidRPr="00C523E1" w:rsidRDefault="00210C56" w:rsidP="00C523E1">
            <w:pPr>
              <w:pStyle w:val="tablecopy"/>
              <w:jc w:val="center"/>
              <w:rPr>
                <w:rFonts w:ascii="Garamond" w:hAnsi="Garamond"/>
              </w:rPr>
            </w:pPr>
            <w:r w:rsidRPr="00C523E1">
              <w:rPr>
                <w:rFonts w:ascii="Garamond" w:hAnsi="Garamond"/>
              </w:rPr>
              <w:t>224</w:t>
            </w:r>
          </w:p>
        </w:tc>
        <w:tc>
          <w:tcPr>
            <w:tcW w:w="798" w:type="pct"/>
            <w:tcBorders>
              <w:left w:val="nil"/>
              <w:right w:val="nil"/>
            </w:tcBorders>
            <w:vAlign w:val="center"/>
          </w:tcPr>
          <w:p w14:paraId="318FE0C5" w14:textId="77777777" w:rsidR="00210C56" w:rsidRPr="00C523E1" w:rsidRDefault="00210C56" w:rsidP="00C523E1">
            <w:pPr>
              <w:pStyle w:val="tablecopy"/>
              <w:jc w:val="center"/>
              <w:rPr>
                <w:rFonts w:ascii="Garamond" w:hAnsi="Garamond"/>
              </w:rPr>
            </w:pPr>
            <w:r w:rsidRPr="00C523E1">
              <w:rPr>
                <w:rFonts w:ascii="Garamond" w:hAnsi="Garamond"/>
              </w:rPr>
              <w:t>8.00</w:t>
            </w:r>
          </w:p>
        </w:tc>
        <w:tc>
          <w:tcPr>
            <w:tcW w:w="795" w:type="pct"/>
            <w:tcBorders>
              <w:left w:val="nil"/>
              <w:right w:val="nil"/>
            </w:tcBorders>
            <w:vAlign w:val="center"/>
          </w:tcPr>
          <w:p w14:paraId="77AEA362" w14:textId="77777777" w:rsidR="00210C56" w:rsidRPr="00C523E1" w:rsidRDefault="00210C56" w:rsidP="00C523E1">
            <w:pPr>
              <w:pStyle w:val="tablecopy"/>
              <w:jc w:val="center"/>
              <w:rPr>
                <w:rFonts w:ascii="Garamond" w:hAnsi="Garamond"/>
              </w:rPr>
            </w:pPr>
            <w:r w:rsidRPr="00C523E1">
              <w:rPr>
                <w:rFonts w:ascii="Garamond" w:hAnsi="Garamond"/>
              </w:rPr>
              <w:t>30.00</w:t>
            </w:r>
          </w:p>
        </w:tc>
        <w:tc>
          <w:tcPr>
            <w:tcW w:w="987" w:type="pct"/>
            <w:tcBorders>
              <w:left w:val="nil"/>
              <w:right w:val="nil"/>
            </w:tcBorders>
          </w:tcPr>
          <w:p w14:paraId="01BED1D4" w14:textId="77777777" w:rsidR="00210C56" w:rsidRPr="00C523E1" w:rsidRDefault="00210C56" w:rsidP="00C523E1">
            <w:pPr>
              <w:pStyle w:val="tablecopy"/>
              <w:jc w:val="center"/>
              <w:rPr>
                <w:rFonts w:ascii="Garamond" w:hAnsi="Garamond"/>
              </w:rPr>
            </w:pPr>
            <w:r w:rsidRPr="00C523E1">
              <w:rPr>
                <w:rFonts w:ascii="Garamond" w:hAnsi="Garamond"/>
              </w:rPr>
              <w:t>22.80</w:t>
            </w:r>
          </w:p>
        </w:tc>
        <w:tc>
          <w:tcPr>
            <w:tcW w:w="987" w:type="pct"/>
            <w:tcBorders>
              <w:left w:val="nil"/>
              <w:right w:val="nil"/>
            </w:tcBorders>
          </w:tcPr>
          <w:p w14:paraId="108462CC" w14:textId="77777777" w:rsidR="00210C56" w:rsidRPr="00C523E1" w:rsidRDefault="00210C56" w:rsidP="00C523E1">
            <w:pPr>
              <w:pStyle w:val="tablecopy"/>
              <w:jc w:val="center"/>
              <w:rPr>
                <w:rFonts w:ascii="Garamond" w:hAnsi="Garamond"/>
              </w:rPr>
            </w:pPr>
            <w:r w:rsidRPr="00C523E1">
              <w:rPr>
                <w:rFonts w:ascii="Garamond" w:hAnsi="Garamond"/>
              </w:rPr>
              <w:t>4.38</w:t>
            </w:r>
          </w:p>
        </w:tc>
      </w:tr>
      <w:tr w:rsidR="006364C1" w:rsidRPr="00C523E1" w14:paraId="2CD77141" w14:textId="77777777" w:rsidTr="006364C1">
        <w:trPr>
          <w:trHeight w:val="351"/>
          <w:jc w:val="center"/>
        </w:trPr>
        <w:tc>
          <w:tcPr>
            <w:tcW w:w="1000" w:type="pct"/>
            <w:tcBorders>
              <w:left w:val="nil"/>
              <w:right w:val="nil"/>
            </w:tcBorders>
            <w:vAlign w:val="center"/>
          </w:tcPr>
          <w:p w14:paraId="39D175BE" w14:textId="77777777" w:rsidR="00210C56" w:rsidRPr="00C523E1" w:rsidRDefault="00210C56" w:rsidP="00C523E1">
            <w:pPr>
              <w:pStyle w:val="tablecopy"/>
              <w:rPr>
                <w:rFonts w:ascii="Garamond" w:hAnsi="Garamond"/>
              </w:rPr>
            </w:pPr>
            <w:r w:rsidRPr="00C523E1">
              <w:rPr>
                <w:rFonts w:ascii="Garamond" w:hAnsi="Garamond"/>
              </w:rPr>
              <w:t>Motivation</w:t>
            </w:r>
          </w:p>
        </w:tc>
        <w:tc>
          <w:tcPr>
            <w:tcW w:w="433" w:type="pct"/>
            <w:tcBorders>
              <w:left w:val="nil"/>
              <w:right w:val="nil"/>
            </w:tcBorders>
            <w:vAlign w:val="center"/>
          </w:tcPr>
          <w:p w14:paraId="339ED80F" w14:textId="77777777" w:rsidR="00210C56" w:rsidRPr="00C523E1" w:rsidRDefault="00210C56" w:rsidP="00C523E1">
            <w:pPr>
              <w:pStyle w:val="tablecopy"/>
              <w:jc w:val="center"/>
              <w:rPr>
                <w:rFonts w:ascii="Garamond" w:hAnsi="Garamond"/>
              </w:rPr>
            </w:pPr>
            <w:r w:rsidRPr="00C523E1">
              <w:rPr>
                <w:rFonts w:ascii="Garamond" w:hAnsi="Garamond"/>
              </w:rPr>
              <w:t>224</w:t>
            </w:r>
          </w:p>
        </w:tc>
        <w:tc>
          <w:tcPr>
            <w:tcW w:w="798" w:type="pct"/>
            <w:tcBorders>
              <w:left w:val="nil"/>
              <w:right w:val="nil"/>
            </w:tcBorders>
            <w:vAlign w:val="center"/>
          </w:tcPr>
          <w:p w14:paraId="6FD38FB6" w14:textId="77777777" w:rsidR="00210C56" w:rsidRPr="00C523E1" w:rsidRDefault="00210C56" w:rsidP="00C523E1">
            <w:pPr>
              <w:pStyle w:val="tablecopy"/>
              <w:jc w:val="center"/>
              <w:rPr>
                <w:rFonts w:ascii="Garamond" w:hAnsi="Garamond"/>
              </w:rPr>
            </w:pPr>
            <w:r w:rsidRPr="00C523E1">
              <w:rPr>
                <w:rFonts w:ascii="Garamond" w:hAnsi="Garamond"/>
              </w:rPr>
              <w:t>38.00</w:t>
            </w:r>
          </w:p>
        </w:tc>
        <w:tc>
          <w:tcPr>
            <w:tcW w:w="795" w:type="pct"/>
            <w:tcBorders>
              <w:left w:val="nil"/>
              <w:right w:val="nil"/>
            </w:tcBorders>
            <w:vAlign w:val="center"/>
          </w:tcPr>
          <w:p w14:paraId="223D3846" w14:textId="77777777" w:rsidR="00210C56" w:rsidRPr="00C523E1" w:rsidRDefault="00210C56" w:rsidP="00C523E1">
            <w:pPr>
              <w:pStyle w:val="tablecopy"/>
              <w:jc w:val="center"/>
              <w:rPr>
                <w:rFonts w:ascii="Garamond" w:hAnsi="Garamond"/>
              </w:rPr>
            </w:pPr>
            <w:r w:rsidRPr="00C523E1">
              <w:rPr>
                <w:rFonts w:ascii="Garamond" w:hAnsi="Garamond"/>
              </w:rPr>
              <w:t>97.00</w:t>
            </w:r>
          </w:p>
        </w:tc>
        <w:tc>
          <w:tcPr>
            <w:tcW w:w="987" w:type="pct"/>
            <w:tcBorders>
              <w:left w:val="nil"/>
              <w:right w:val="nil"/>
            </w:tcBorders>
          </w:tcPr>
          <w:p w14:paraId="21A49259" w14:textId="77777777" w:rsidR="00210C56" w:rsidRPr="00C523E1" w:rsidRDefault="00210C56" w:rsidP="00C523E1">
            <w:pPr>
              <w:pStyle w:val="tablecopy"/>
              <w:jc w:val="center"/>
              <w:rPr>
                <w:rFonts w:ascii="Garamond" w:hAnsi="Garamond"/>
              </w:rPr>
            </w:pPr>
            <w:r w:rsidRPr="00C523E1">
              <w:rPr>
                <w:rFonts w:ascii="Garamond" w:hAnsi="Garamond"/>
              </w:rPr>
              <w:t>76.71</w:t>
            </w:r>
          </w:p>
        </w:tc>
        <w:tc>
          <w:tcPr>
            <w:tcW w:w="987" w:type="pct"/>
            <w:tcBorders>
              <w:left w:val="nil"/>
              <w:right w:val="nil"/>
            </w:tcBorders>
          </w:tcPr>
          <w:p w14:paraId="418F2DA9" w14:textId="77777777" w:rsidR="00210C56" w:rsidRPr="00C523E1" w:rsidRDefault="00210C56" w:rsidP="00C523E1">
            <w:pPr>
              <w:pStyle w:val="tablecopy"/>
              <w:jc w:val="center"/>
              <w:rPr>
                <w:rFonts w:ascii="Garamond" w:hAnsi="Garamond"/>
              </w:rPr>
            </w:pPr>
            <w:r w:rsidRPr="00C523E1">
              <w:rPr>
                <w:rFonts w:ascii="Garamond" w:hAnsi="Garamond"/>
              </w:rPr>
              <w:t>10.14</w:t>
            </w:r>
          </w:p>
        </w:tc>
      </w:tr>
      <w:tr w:rsidR="006364C1" w:rsidRPr="00C523E1" w14:paraId="192BFBE7" w14:textId="77777777" w:rsidTr="006364C1">
        <w:trPr>
          <w:trHeight w:val="351"/>
          <w:jc w:val="center"/>
        </w:trPr>
        <w:tc>
          <w:tcPr>
            <w:tcW w:w="1000" w:type="pct"/>
            <w:tcBorders>
              <w:left w:val="nil"/>
              <w:right w:val="nil"/>
            </w:tcBorders>
            <w:vAlign w:val="center"/>
          </w:tcPr>
          <w:p w14:paraId="6020A1AE" w14:textId="77777777" w:rsidR="00210C56" w:rsidRPr="00C523E1" w:rsidRDefault="00210C56" w:rsidP="00C523E1">
            <w:pPr>
              <w:pStyle w:val="tablecopy"/>
              <w:rPr>
                <w:rFonts w:ascii="Garamond" w:hAnsi="Garamond"/>
              </w:rPr>
            </w:pPr>
            <w:r w:rsidRPr="00C523E1">
              <w:rPr>
                <w:rFonts w:ascii="Garamond" w:hAnsi="Garamond"/>
              </w:rPr>
              <w:t>Commitment</w:t>
            </w:r>
          </w:p>
        </w:tc>
        <w:tc>
          <w:tcPr>
            <w:tcW w:w="433" w:type="pct"/>
            <w:tcBorders>
              <w:left w:val="nil"/>
              <w:right w:val="nil"/>
            </w:tcBorders>
            <w:vAlign w:val="center"/>
          </w:tcPr>
          <w:p w14:paraId="5EE76C99" w14:textId="77777777" w:rsidR="00210C56" w:rsidRPr="00C523E1" w:rsidRDefault="00210C56" w:rsidP="00C523E1">
            <w:pPr>
              <w:pStyle w:val="tablecopy"/>
              <w:jc w:val="center"/>
              <w:rPr>
                <w:rFonts w:ascii="Garamond" w:hAnsi="Garamond"/>
              </w:rPr>
            </w:pPr>
            <w:r w:rsidRPr="00C523E1">
              <w:rPr>
                <w:rFonts w:ascii="Garamond" w:hAnsi="Garamond"/>
              </w:rPr>
              <w:t>224</w:t>
            </w:r>
          </w:p>
        </w:tc>
        <w:tc>
          <w:tcPr>
            <w:tcW w:w="798" w:type="pct"/>
            <w:tcBorders>
              <w:left w:val="nil"/>
              <w:right w:val="nil"/>
            </w:tcBorders>
            <w:vAlign w:val="center"/>
          </w:tcPr>
          <w:p w14:paraId="6F3E01FF" w14:textId="77777777" w:rsidR="00210C56" w:rsidRPr="00C523E1" w:rsidRDefault="00210C56" w:rsidP="00C523E1">
            <w:pPr>
              <w:pStyle w:val="tablecopy"/>
              <w:jc w:val="center"/>
              <w:rPr>
                <w:rFonts w:ascii="Garamond" w:hAnsi="Garamond"/>
              </w:rPr>
            </w:pPr>
            <w:r w:rsidRPr="00C523E1">
              <w:rPr>
                <w:rFonts w:ascii="Garamond" w:hAnsi="Garamond"/>
              </w:rPr>
              <w:t>13.00</w:t>
            </w:r>
          </w:p>
        </w:tc>
        <w:tc>
          <w:tcPr>
            <w:tcW w:w="795" w:type="pct"/>
            <w:tcBorders>
              <w:left w:val="nil"/>
              <w:right w:val="nil"/>
            </w:tcBorders>
            <w:vAlign w:val="center"/>
          </w:tcPr>
          <w:p w14:paraId="38DF7A5D" w14:textId="77777777" w:rsidR="00210C56" w:rsidRPr="00C523E1" w:rsidRDefault="00210C56" w:rsidP="00C523E1">
            <w:pPr>
              <w:pStyle w:val="tablecopy"/>
              <w:jc w:val="center"/>
              <w:rPr>
                <w:rFonts w:ascii="Garamond" w:hAnsi="Garamond"/>
              </w:rPr>
            </w:pPr>
            <w:r w:rsidRPr="00C523E1">
              <w:rPr>
                <w:rFonts w:ascii="Garamond" w:hAnsi="Garamond"/>
              </w:rPr>
              <w:t>30.00</w:t>
            </w:r>
          </w:p>
        </w:tc>
        <w:tc>
          <w:tcPr>
            <w:tcW w:w="987" w:type="pct"/>
            <w:tcBorders>
              <w:left w:val="nil"/>
              <w:right w:val="nil"/>
            </w:tcBorders>
          </w:tcPr>
          <w:p w14:paraId="70661CD2" w14:textId="77777777" w:rsidR="00210C56" w:rsidRPr="00C523E1" w:rsidRDefault="00210C56" w:rsidP="00C523E1">
            <w:pPr>
              <w:pStyle w:val="tablecopy"/>
              <w:jc w:val="center"/>
              <w:rPr>
                <w:rFonts w:ascii="Garamond" w:hAnsi="Garamond"/>
              </w:rPr>
            </w:pPr>
            <w:r w:rsidRPr="00C523E1">
              <w:rPr>
                <w:rFonts w:ascii="Garamond" w:hAnsi="Garamond"/>
              </w:rPr>
              <w:t>21.36</w:t>
            </w:r>
          </w:p>
        </w:tc>
        <w:tc>
          <w:tcPr>
            <w:tcW w:w="987" w:type="pct"/>
            <w:tcBorders>
              <w:left w:val="nil"/>
              <w:right w:val="nil"/>
            </w:tcBorders>
          </w:tcPr>
          <w:p w14:paraId="186C98BB" w14:textId="77777777" w:rsidR="00210C56" w:rsidRPr="00C523E1" w:rsidRDefault="00210C56" w:rsidP="00C523E1">
            <w:pPr>
              <w:pStyle w:val="tablecopy"/>
              <w:jc w:val="center"/>
              <w:rPr>
                <w:rFonts w:ascii="Garamond" w:hAnsi="Garamond"/>
              </w:rPr>
            </w:pPr>
            <w:r w:rsidRPr="00C523E1">
              <w:rPr>
                <w:rFonts w:ascii="Garamond" w:hAnsi="Garamond"/>
              </w:rPr>
              <w:t>3.96</w:t>
            </w:r>
          </w:p>
        </w:tc>
      </w:tr>
      <w:tr w:rsidR="006364C1" w:rsidRPr="00C523E1" w14:paraId="0C1CF342" w14:textId="77777777" w:rsidTr="006364C1">
        <w:trPr>
          <w:trHeight w:val="351"/>
          <w:jc w:val="center"/>
        </w:trPr>
        <w:tc>
          <w:tcPr>
            <w:tcW w:w="1000" w:type="pct"/>
            <w:tcBorders>
              <w:left w:val="nil"/>
              <w:right w:val="nil"/>
            </w:tcBorders>
            <w:vAlign w:val="center"/>
          </w:tcPr>
          <w:p w14:paraId="476B88B6" w14:textId="77777777" w:rsidR="00210C56" w:rsidRPr="00C523E1" w:rsidRDefault="00210C56" w:rsidP="00C523E1">
            <w:pPr>
              <w:pStyle w:val="tablecopy"/>
              <w:rPr>
                <w:rFonts w:ascii="Garamond" w:hAnsi="Garamond"/>
              </w:rPr>
            </w:pPr>
            <w:r w:rsidRPr="00C523E1">
              <w:rPr>
                <w:rFonts w:ascii="Garamond" w:hAnsi="Garamond"/>
              </w:rPr>
              <w:t>Performance</w:t>
            </w:r>
          </w:p>
        </w:tc>
        <w:tc>
          <w:tcPr>
            <w:tcW w:w="433" w:type="pct"/>
            <w:tcBorders>
              <w:left w:val="nil"/>
              <w:right w:val="nil"/>
            </w:tcBorders>
            <w:vAlign w:val="center"/>
          </w:tcPr>
          <w:p w14:paraId="03688603" w14:textId="77777777" w:rsidR="00210C56" w:rsidRPr="00C523E1" w:rsidRDefault="00210C56" w:rsidP="00C523E1">
            <w:pPr>
              <w:pStyle w:val="tablecopy"/>
              <w:jc w:val="center"/>
              <w:rPr>
                <w:rFonts w:ascii="Garamond" w:hAnsi="Garamond"/>
              </w:rPr>
            </w:pPr>
            <w:r w:rsidRPr="00C523E1">
              <w:rPr>
                <w:rFonts w:ascii="Garamond" w:hAnsi="Garamond"/>
              </w:rPr>
              <w:t>224</w:t>
            </w:r>
          </w:p>
        </w:tc>
        <w:tc>
          <w:tcPr>
            <w:tcW w:w="798" w:type="pct"/>
            <w:tcBorders>
              <w:left w:val="nil"/>
              <w:right w:val="nil"/>
            </w:tcBorders>
            <w:vAlign w:val="center"/>
          </w:tcPr>
          <w:p w14:paraId="5BE9D709" w14:textId="77777777" w:rsidR="00210C56" w:rsidRPr="00C523E1" w:rsidRDefault="00210C56" w:rsidP="00C523E1">
            <w:pPr>
              <w:pStyle w:val="tablecopy"/>
              <w:jc w:val="center"/>
              <w:rPr>
                <w:rFonts w:ascii="Garamond" w:hAnsi="Garamond"/>
              </w:rPr>
            </w:pPr>
            <w:r w:rsidRPr="00C523E1">
              <w:rPr>
                <w:rFonts w:ascii="Garamond" w:hAnsi="Garamond"/>
              </w:rPr>
              <w:t>17.00</w:t>
            </w:r>
          </w:p>
        </w:tc>
        <w:tc>
          <w:tcPr>
            <w:tcW w:w="795" w:type="pct"/>
            <w:tcBorders>
              <w:left w:val="nil"/>
              <w:right w:val="nil"/>
            </w:tcBorders>
            <w:vAlign w:val="center"/>
          </w:tcPr>
          <w:p w14:paraId="34EB6C15" w14:textId="77777777" w:rsidR="00210C56" w:rsidRPr="00C523E1" w:rsidRDefault="00210C56" w:rsidP="00C523E1">
            <w:pPr>
              <w:pStyle w:val="tablecopy"/>
              <w:jc w:val="center"/>
              <w:rPr>
                <w:rFonts w:ascii="Garamond" w:hAnsi="Garamond"/>
              </w:rPr>
            </w:pPr>
            <w:r w:rsidRPr="00C523E1">
              <w:rPr>
                <w:rFonts w:ascii="Garamond" w:hAnsi="Garamond"/>
              </w:rPr>
              <w:t>60.00</w:t>
            </w:r>
          </w:p>
        </w:tc>
        <w:tc>
          <w:tcPr>
            <w:tcW w:w="987" w:type="pct"/>
            <w:tcBorders>
              <w:left w:val="nil"/>
              <w:right w:val="nil"/>
            </w:tcBorders>
          </w:tcPr>
          <w:p w14:paraId="469E261D" w14:textId="77777777" w:rsidR="00210C56" w:rsidRPr="00C523E1" w:rsidRDefault="00210C56" w:rsidP="00C523E1">
            <w:pPr>
              <w:pStyle w:val="tablecopy"/>
              <w:jc w:val="center"/>
              <w:rPr>
                <w:rFonts w:ascii="Garamond" w:hAnsi="Garamond"/>
              </w:rPr>
            </w:pPr>
            <w:r w:rsidRPr="00C523E1">
              <w:rPr>
                <w:rFonts w:ascii="Garamond" w:hAnsi="Garamond"/>
              </w:rPr>
              <w:t>46.98</w:t>
            </w:r>
          </w:p>
        </w:tc>
        <w:tc>
          <w:tcPr>
            <w:tcW w:w="987" w:type="pct"/>
            <w:tcBorders>
              <w:left w:val="nil"/>
              <w:right w:val="nil"/>
            </w:tcBorders>
          </w:tcPr>
          <w:p w14:paraId="3C290120" w14:textId="77777777" w:rsidR="00210C56" w:rsidRPr="00C523E1" w:rsidRDefault="00210C56" w:rsidP="00C523E1">
            <w:pPr>
              <w:pStyle w:val="tablecopy"/>
              <w:jc w:val="center"/>
              <w:rPr>
                <w:rFonts w:ascii="Garamond" w:hAnsi="Garamond"/>
              </w:rPr>
            </w:pPr>
            <w:r w:rsidRPr="00C523E1">
              <w:rPr>
                <w:rFonts w:ascii="Garamond" w:hAnsi="Garamond"/>
              </w:rPr>
              <w:t>6.89</w:t>
            </w:r>
          </w:p>
        </w:tc>
      </w:tr>
    </w:tbl>
    <w:p w14:paraId="142E1ED5" w14:textId="415722ED" w:rsidR="00210C56" w:rsidRDefault="00210C56" w:rsidP="00210C56">
      <w:pPr>
        <w:pStyle w:val="BodyText"/>
        <w:ind w:firstLine="426"/>
        <w:rPr>
          <w:szCs w:val="24"/>
          <w:lang w:val="id-ID" w:eastAsia="id-ID"/>
        </w:rPr>
      </w:pPr>
      <w:r w:rsidRPr="00210C56">
        <w:rPr>
          <w:szCs w:val="24"/>
          <w:lang w:val="id-ID" w:eastAsia="id-ID"/>
        </w:rPr>
        <w:t xml:space="preserve">Table </w:t>
      </w:r>
      <w:r>
        <w:rPr>
          <w:szCs w:val="24"/>
          <w:lang w:val="en" w:eastAsia="id-ID"/>
        </w:rPr>
        <w:t>1</w:t>
      </w:r>
      <w:r w:rsidRPr="00210C56">
        <w:rPr>
          <w:szCs w:val="24"/>
          <w:lang w:val="en" w:eastAsia="id-ID"/>
        </w:rPr>
        <w:t xml:space="preserve"> </w:t>
      </w:r>
      <w:r w:rsidRPr="00210C56">
        <w:rPr>
          <w:szCs w:val="24"/>
          <w:lang w:val="id-ID" w:eastAsia="id-ID"/>
        </w:rPr>
        <w:t xml:space="preserve">shows that the average value for the work experience variable is 22.80 with a standard deviation of 4.38. The average value for the motivation variable is 76.71 with a standard deviation of 10.14. The average value for the commitment variable is 21.36 with a standard deviation of 3.96. While the average value for the performance variable is 46.9 </w:t>
      </w:r>
      <w:r w:rsidRPr="00210C56">
        <w:rPr>
          <w:szCs w:val="24"/>
          <w:lang w:val="en" w:eastAsia="id-ID"/>
        </w:rPr>
        <w:t xml:space="preserve">8 </w:t>
      </w:r>
      <w:r w:rsidRPr="00210C56">
        <w:rPr>
          <w:szCs w:val="24"/>
          <w:lang w:val="id-ID" w:eastAsia="id-ID"/>
        </w:rPr>
        <w:t>with a standard deviation of 6.89.</w:t>
      </w:r>
    </w:p>
    <w:p w14:paraId="0EF8DA28" w14:textId="76E39878" w:rsidR="00210C56" w:rsidRPr="00210C56" w:rsidRDefault="00210C56" w:rsidP="00210C56">
      <w:pPr>
        <w:ind w:firstLine="0"/>
        <w:jc w:val="center"/>
        <w:rPr>
          <w:iCs/>
          <w:sz w:val="20"/>
          <w:szCs w:val="20"/>
        </w:rPr>
      </w:pPr>
      <w:r w:rsidRPr="00210C56">
        <w:rPr>
          <w:iCs/>
          <w:sz w:val="20"/>
          <w:szCs w:val="20"/>
          <w:lang w:val="en"/>
        </w:rPr>
        <w:t xml:space="preserve">Table </w:t>
      </w:r>
      <w:r w:rsidRPr="00C523E1">
        <w:rPr>
          <w:iCs/>
          <w:sz w:val="20"/>
          <w:szCs w:val="20"/>
        </w:rPr>
        <w:t>2</w:t>
      </w:r>
      <w:r w:rsidRPr="00210C56">
        <w:rPr>
          <w:iCs/>
          <w:sz w:val="20"/>
          <w:szCs w:val="20"/>
          <w:lang w:val="en"/>
        </w:rPr>
        <w:t xml:space="preserve">. </w:t>
      </w:r>
      <w:r w:rsidRPr="00210C56">
        <w:rPr>
          <w:iCs/>
          <w:sz w:val="20"/>
          <w:szCs w:val="20"/>
        </w:rPr>
        <w:t>Regression Results Equality Variable Commitment using SEM</w:t>
      </w:r>
    </w:p>
    <w:tbl>
      <w:tblPr>
        <w:tblStyle w:val="TableGrid2"/>
        <w:tblW w:w="0" w:type="auto"/>
        <w:tblLook w:val="04A0" w:firstRow="1" w:lastRow="0" w:firstColumn="1" w:lastColumn="0" w:noHBand="0" w:noVBand="1"/>
      </w:tblPr>
      <w:tblGrid>
        <w:gridCol w:w="2138"/>
        <w:gridCol w:w="709"/>
        <w:gridCol w:w="834"/>
        <w:gridCol w:w="2551"/>
        <w:gridCol w:w="1560"/>
        <w:gridCol w:w="1412"/>
      </w:tblGrid>
      <w:tr w:rsidR="00210C56" w:rsidRPr="00210C56" w14:paraId="0E16AF88" w14:textId="77777777" w:rsidTr="006364C1">
        <w:tc>
          <w:tcPr>
            <w:tcW w:w="3681" w:type="dxa"/>
            <w:gridSpan w:val="3"/>
            <w:vMerge w:val="restart"/>
            <w:tcBorders>
              <w:left w:val="nil"/>
              <w:right w:val="nil"/>
            </w:tcBorders>
          </w:tcPr>
          <w:p w14:paraId="7BD5DC83" w14:textId="77777777" w:rsidR="00210C56" w:rsidRPr="00210C56" w:rsidRDefault="00210C56" w:rsidP="00210C56">
            <w:pPr>
              <w:ind w:firstLine="0"/>
              <w:jc w:val="both"/>
              <w:rPr>
                <w:sz w:val="20"/>
                <w:szCs w:val="20"/>
                <w:lang w:val="en"/>
              </w:rPr>
            </w:pPr>
            <w:r w:rsidRPr="00210C56">
              <w:rPr>
                <w:sz w:val="20"/>
                <w:szCs w:val="20"/>
                <w:lang w:val="en"/>
              </w:rPr>
              <w:t>Variable Independent</w:t>
            </w:r>
          </w:p>
        </w:tc>
        <w:tc>
          <w:tcPr>
            <w:tcW w:w="5523" w:type="dxa"/>
            <w:gridSpan w:val="3"/>
            <w:tcBorders>
              <w:left w:val="nil"/>
              <w:right w:val="nil"/>
            </w:tcBorders>
          </w:tcPr>
          <w:p w14:paraId="56797F54" w14:textId="169ECD88" w:rsidR="00210C56" w:rsidRPr="00210C56" w:rsidRDefault="00210C56" w:rsidP="00210C56">
            <w:pPr>
              <w:ind w:firstLine="0"/>
              <w:jc w:val="both"/>
              <w:rPr>
                <w:sz w:val="20"/>
                <w:szCs w:val="20"/>
                <w:lang w:val="en"/>
              </w:rPr>
            </w:pPr>
            <w:r w:rsidRPr="00210C56">
              <w:rPr>
                <w:sz w:val="20"/>
                <w:szCs w:val="20"/>
                <w:lang w:val="en"/>
              </w:rPr>
              <w:t xml:space="preserve">Variable Dependent: </w:t>
            </w:r>
            <w:r w:rsidRPr="00210C56">
              <w:rPr>
                <w:b/>
                <w:bCs/>
                <w:sz w:val="20"/>
                <w:szCs w:val="20"/>
                <w:lang w:val="en"/>
              </w:rPr>
              <w:t xml:space="preserve">Commitment </w:t>
            </w:r>
          </w:p>
        </w:tc>
      </w:tr>
      <w:tr w:rsidR="00210C56" w:rsidRPr="00210C56" w14:paraId="15857913" w14:textId="77777777" w:rsidTr="006364C1">
        <w:tc>
          <w:tcPr>
            <w:tcW w:w="3681" w:type="dxa"/>
            <w:gridSpan w:val="3"/>
            <w:vMerge/>
            <w:tcBorders>
              <w:left w:val="nil"/>
              <w:right w:val="nil"/>
            </w:tcBorders>
          </w:tcPr>
          <w:p w14:paraId="1758AB1B" w14:textId="77777777" w:rsidR="00210C56" w:rsidRPr="00210C56" w:rsidRDefault="00210C56" w:rsidP="00210C56">
            <w:pPr>
              <w:ind w:firstLine="0"/>
              <w:jc w:val="both"/>
              <w:rPr>
                <w:sz w:val="20"/>
                <w:szCs w:val="20"/>
                <w:lang w:val="en"/>
              </w:rPr>
            </w:pPr>
          </w:p>
        </w:tc>
        <w:tc>
          <w:tcPr>
            <w:tcW w:w="2551" w:type="dxa"/>
            <w:tcBorders>
              <w:left w:val="nil"/>
              <w:right w:val="nil"/>
            </w:tcBorders>
          </w:tcPr>
          <w:p w14:paraId="3FA8F536" w14:textId="77777777" w:rsidR="00210C56" w:rsidRPr="00210C56" w:rsidRDefault="00210C56" w:rsidP="00210C56">
            <w:pPr>
              <w:ind w:firstLine="0"/>
              <w:jc w:val="both"/>
              <w:rPr>
                <w:sz w:val="20"/>
                <w:szCs w:val="20"/>
                <w:lang w:val="en"/>
              </w:rPr>
            </w:pPr>
            <w:r w:rsidRPr="00210C56">
              <w:rPr>
                <w:sz w:val="20"/>
                <w:szCs w:val="20"/>
                <w:lang w:val="en"/>
              </w:rPr>
              <w:t>Beta coefficient</w:t>
            </w:r>
          </w:p>
        </w:tc>
        <w:tc>
          <w:tcPr>
            <w:tcW w:w="1560" w:type="dxa"/>
            <w:tcBorders>
              <w:left w:val="nil"/>
              <w:right w:val="nil"/>
            </w:tcBorders>
          </w:tcPr>
          <w:p w14:paraId="4FD4009E" w14:textId="77777777" w:rsidR="00210C56" w:rsidRPr="00210C56" w:rsidRDefault="00210C56" w:rsidP="00210C56">
            <w:pPr>
              <w:ind w:firstLine="0"/>
              <w:jc w:val="both"/>
              <w:rPr>
                <w:sz w:val="20"/>
                <w:szCs w:val="20"/>
                <w:lang w:val="en"/>
              </w:rPr>
            </w:pPr>
            <w:r w:rsidRPr="00210C56">
              <w:rPr>
                <w:sz w:val="20"/>
                <w:szCs w:val="20"/>
                <w:lang w:val="en"/>
              </w:rPr>
              <w:t>t</w:t>
            </w:r>
          </w:p>
        </w:tc>
        <w:tc>
          <w:tcPr>
            <w:tcW w:w="1412" w:type="dxa"/>
            <w:tcBorders>
              <w:left w:val="nil"/>
              <w:right w:val="nil"/>
            </w:tcBorders>
          </w:tcPr>
          <w:p w14:paraId="13288BBC" w14:textId="77777777" w:rsidR="00210C56" w:rsidRPr="00210C56" w:rsidRDefault="00210C56" w:rsidP="00210C56">
            <w:pPr>
              <w:ind w:firstLine="0"/>
              <w:jc w:val="both"/>
              <w:rPr>
                <w:sz w:val="20"/>
                <w:szCs w:val="20"/>
                <w:lang w:val="en"/>
              </w:rPr>
            </w:pPr>
            <w:r w:rsidRPr="00210C56">
              <w:rPr>
                <w:sz w:val="20"/>
                <w:szCs w:val="20"/>
                <w:lang w:val="en"/>
              </w:rPr>
              <w:t>Sig.</w:t>
            </w:r>
          </w:p>
        </w:tc>
      </w:tr>
      <w:tr w:rsidR="00210C56" w:rsidRPr="00210C56" w14:paraId="303AB658" w14:textId="77777777" w:rsidTr="006364C1">
        <w:tc>
          <w:tcPr>
            <w:tcW w:w="3681" w:type="dxa"/>
            <w:gridSpan w:val="3"/>
            <w:tcBorders>
              <w:left w:val="nil"/>
              <w:right w:val="nil"/>
            </w:tcBorders>
          </w:tcPr>
          <w:p w14:paraId="3C829635" w14:textId="77777777" w:rsidR="00210C56" w:rsidRPr="00210C56" w:rsidRDefault="00210C56" w:rsidP="00210C56">
            <w:pPr>
              <w:ind w:firstLine="0"/>
              <w:jc w:val="both"/>
              <w:rPr>
                <w:sz w:val="20"/>
                <w:szCs w:val="20"/>
                <w:lang w:val="en"/>
              </w:rPr>
            </w:pPr>
            <w:r w:rsidRPr="00210C56">
              <w:rPr>
                <w:sz w:val="20"/>
                <w:szCs w:val="20"/>
                <w:lang w:val="en"/>
              </w:rPr>
              <w:t>Experience Work</w:t>
            </w:r>
          </w:p>
        </w:tc>
        <w:tc>
          <w:tcPr>
            <w:tcW w:w="2551" w:type="dxa"/>
            <w:tcBorders>
              <w:left w:val="nil"/>
              <w:right w:val="nil"/>
            </w:tcBorders>
          </w:tcPr>
          <w:p w14:paraId="78C953F4" w14:textId="77777777" w:rsidR="00210C56" w:rsidRPr="00210C56" w:rsidRDefault="00210C56" w:rsidP="00210C56">
            <w:pPr>
              <w:ind w:firstLine="0"/>
              <w:jc w:val="both"/>
              <w:rPr>
                <w:sz w:val="20"/>
                <w:szCs w:val="20"/>
                <w:lang w:val="en"/>
              </w:rPr>
            </w:pPr>
            <w:r w:rsidRPr="00210C56">
              <w:rPr>
                <w:sz w:val="20"/>
                <w:szCs w:val="20"/>
                <w:lang w:val="en"/>
              </w:rPr>
              <w:t>0.38</w:t>
            </w:r>
          </w:p>
        </w:tc>
        <w:tc>
          <w:tcPr>
            <w:tcW w:w="1560" w:type="dxa"/>
            <w:tcBorders>
              <w:left w:val="nil"/>
              <w:right w:val="nil"/>
            </w:tcBorders>
          </w:tcPr>
          <w:p w14:paraId="5EA6BCA3" w14:textId="77777777" w:rsidR="00210C56" w:rsidRPr="00210C56" w:rsidRDefault="00210C56" w:rsidP="00210C56">
            <w:pPr>
              <w:ind w:firstLine="0"/>
              <w:jc w:val="both"/>
              <w:rPr>
                <w:sz w:val="20"/>
                <w:szCs w:val="20"/>
                <w:lang w:val="en"/>
              </w:rPr>
            </w:pPr>
            <w:r w:rsidRPr="00210C56">
              <w:rPr>
                <w:sz w:val="20"/>
                <w:szCs w:val="20"/>
                <w:lang w:val="en"/>
              </w:rPr>
              <w:t>3.83</w:t>
            </w:r>
          </w:p>
        </w:tc>
        <w:tc>
          <w:tcPr>
            <w:tcW w:w="1412" w:type="dxa"/>
            <w:tcBorders>
              <w:left w:val="nil"/>
              <w:right w:val="nil"/>
            </w:tcBorders>
          </w:tcPr>
          <w:p w14:paraId="3D9FA2F0" w14:textId="77777777" w:rsidR="00210C56" w:rsidRPr="00210C56" w:rsidRDefault="00210C56" w:rsidP="00210C56">
            <w:pPr>
              <w:ind w:firstLine="0"/>
              <w:jc w:val="both"/>
              <w:rPr>
                <w:sz w:val="20"/>
                <w:szCs w:val="20"/>
                <w:lang w:val="en"/>
              </w:rPr>
            </w:pPr>
            <w:r w:rsidRPr="00210C56">
              <w:rPr>
                <w:sz w:val="20"/>
                <w:szCs w:val="20"/>
                <w:lang w:val="en"/>
              </w:rPr>
              <w:t>0.000</w:t>
            </w:r>
          </w:p>
        </w:tc>
      </w:tr>
      <w:tr w:rsidR="00210C56" w:rsidRPr="00210C56" w14:paraId="5358E55B" w14:textId="77777777" w:rsidTr="006364C1">
        <w:tc>
          <w:tcPr>
            <w:tcW w:w="3681" w:type="dxa"/>
            <w:gridSpan w:val="3"/>
            <w:tcBorders>
              <w:left w:val="nil"/>
              <w:right w:val="nil"/>
            </w:tcBorders>
          </w:tcPr>
          <w:p w14:paraId="577209AF" w14:textId="77777777" w:rsidR="00210C56" w:rsidRPr="00210C56" w:rsidRDefault="00210C56" w:rsidP="00210C56">
            <w:pPr>
              <w:ind w:firstLine="0"/>
              <w:jc w:val="both"/>
              <w:rPr>
                <w:sz w:val="20"/>
                <w:szCs w:val="20"/>
                <w:lang w:val="en"/>
              </w:rPr>
            </w:pPr>
            <w:r w:rsidRPr="00210C56">
              <w:rPr>
                <w:sz w:val="20"/>
                <w:szCs w:val="20"/>
                <w:lang w:val="en"/>
              </w:rPr>
              <w:t>Motivation</w:t>
            </w:r>
          </w:p>
        </w:tc>
        <w:tc>
          <w:tcPr>
            <w:tcW w:w="2551" w:type="dxa"/>
            <w:tcBorders>
              <w:left w:val="nil"/>
              <w:bottom w:val="single" w:sz="4" w:space="0" w:color="auto"/>
              <w:right w:val="nil"/>
            </w:tcBorders>
          </w:tcPr>
          <w:p w14:paraId="4CEA75DC" w14:textId="77777777" w:rsidR="00210C56" w:rsidRPr="00210C56" w:rsidRDefault="00210C56" w:rsidP="00210C56">
            <w:pPr>
              <w:ind w:firstLine="0"/>
              <w:jc w:val="both"/>
              <w:rPr>
                <w:sz w:val="20"/>
                <w:szCs w:val="20"/>
                <w:lang w:val="en"/>
              </w:rPr>
            </w:pPr>
            <w:r w:rsidRPr="00210C56">
              <w:rPr>
                <w:sz w:val="20"/>
                <w:szCs w:val="20"/>
                <w:lang w:val="en"/>
              </w:rPr>
              <w:t>0.27</w:t>
            </w:r>
          </w:p>
        </w:tc>
        <w:tc>
          <w:tcPr>
            <w:tcW w:w="1560" w:type="dxa"/>
            <w:tcBorders>
              <w:left w:val="nil"/>
              <w:bottom w:val="single" w:sz="4" w:space="0" w:color="auto"/>
              <w:right w:val="nil"/>
            </w:tcBorders>
          </w:tcPr>
          <w:p w14:paraId="59B8595A" w14:textId="77777777" w:rsidR="00210C56" w:rsidRPr="00210C56" w:rsidRDefault="00210C56" w:rsidP="00210C56">
            <w:pPr>
              <w:ind w:firstLine="0"/>
              <w:jc w:val="both"/>
              <w:rPr>
                <w:sz w:val="20"/>
                <w:szCs w:val="20"/>
                <w:lang w:val="en"/>
              </w:rPr>
            </w:pPr>
            <w:r w:rsidRPr="00210C56">
              <w:rPr>
                <w:sz w:val="20"/>
                <w:szCs w:val="20"/>
                <w:lang w:val="en"/>
              </w:rPr>
              <w:t>2.69</w:t>
            </w:r>
          </w:p>
        </w:tc>
        <w:tc>
          <w:tcPr>
            <w:tcW w:w="1412" w:type="dxa"/>
            <w:tcBorders>
              <w:left w:val="nil"/>
              <w:right w:val="nil"/>
            </w:tcBorders>
          </w:tcPr>
          <w:p w14:paraId="1048C922" w14:textId="77777777" w:rsidR="00210C56" w:rsidRPr="00210C56" w:rsidRDefault="00210C56" w:rsidP="00210C56">
            <w:pPr>
              <w:ind w:firstLine="0"/>
              <w:jc w:val="both"/>
              <w:rPr>
                <w:sz w:val="20"/>
                <w:szCs w:val="20"/>
                <w:lang w:val="en"/>
              </w:rPr>
            </w:pPr>
            <w:r w:rsidRPr="00210C56">
              <w:rPr>
                <w:sz w:val="20"/>
                <w:szCs w:val="20"/>
                <w:lang w:val="en"/>
              </w:rPr>
              <w:t>0.008</w:t>
            </w:r>
          </w:p>
        </w:tc>
      </w:tr>
      <w:tr w:rsidR="006364C1" w:rsidRPr="00210C56" w14:paraId="3BB8399F" w14:textId="77777777" w:rsidTr="006364C1">
        <w:tc>
          <w:tcPr>
            <w:tcW w:w="2138" w:type="dxa"/>
            <w:tcBorders>
              <w:left w:val="nil"/>
              <w:right w:val="nil"/>
            </w:tcBorders>
          </w:tcPr>
          <w:p w14:paraId="1463C341" w14:textId="77777777" w:rsidR="00210C56" w:rsidRPr="00210C56" w:rsidRDefault="00210C56" w:rsidP="00210C56">
            <w:pPr>
              <w:ind w:firstLine="0"/>
              <w:jc w:val="both"/>
              <w:rPr>
                <w:sz w:val="20"/>
                <w:szCs w:val="20"/>
                <w:lang w:val="en"/>
              </w:rPr>
            </w:pPr>
            <w:r w:rsidRPr="00210C56">
              <w:rPr>
                <w:sz w:val="20"/>
                <w:szCs w:val="20"/>
                <w:lang w:val="en"/>
              </w:rPr>
              <w:t>F-Sig</w:t>
            </w:r>
          </w:p>
        </w:tc>
        <w:tc>
          <w:tcPr>
            <w:tcW w:w="709" w:type="dxa"/>
            <w:tcBorders>
              <w:left w:val="nil"/>
              <w:right w:val="nil"/>
            </w:tcBorders>
          </w:tcPr>
          <w:p w14:paraId="52465D5E" w14:textId="77777777" w:rsidR="00210C56" w:rsidRPr="00210C56" w:rsidRDefault="00210C56" w:rsidP="00210C56">
            <w:pPr>
              <w:ind w:firstLine="0"/>
              <w:jc w:val="both"/>
              <w:rPr>
                <w:sz w:val="20"/>
                <w:szCs w:val="20"/>
                <w:lang w:val="en"/>
              </w:rPr>
            </w:pPr>
            <w:r w:rsidRPr="00210C56">
              <w:rPr>
                <w:sz w:val="20"/>
                <w:szCs w:val="20"/>
                <w:lang w:val="en"/>
              </w:rPr>
              <w:t>=</w:t>
            </w:r>
          </w:p>
        </w:tc>
        <w:tc>
          <w:tcPr>
            <w:tcW w:w="834" w:type="dxa"/>
            <w:tcBorders>
              <w:left w:val="nil"/>
              <w:right w:val="nil"/>
            </w:tcBorders>
          </w:tcPr>
          <w:p w14:paraId="7078C74C" w14:textId="77777777" w:rsidR="00210C56" w:rsidRPr="00210C56" w:rsidRDefault="00210C56" w:rsidP="00210C56">
            <w:pPr>
              <w:ind w:firstLine="0"/>
              <w:jc w:val="both"/>
              <w:rPr>
                <w:sz w:val="20"/>
                <w:szCs w:val="20"/>
                <w:lang w:val="en"/>
              </w:rPr>
            </w:pPr>
            <w:r w:rsidRPr="00210C56">
              <w:rPr>
                <w:sz w:val="20"/>
                <w:szCs w:val="20"/>
                <w:lang w:val="en"/>
              </w:rPr>
              <w:t>0.000</w:t>
            </w:r>
          </w:p>
        </w:tc>
        <w:tc>
          <w:tcPr>
            <w:tcW w:w="2551" w:type="dxa"/>
            <w:tcBorders>
              <w:left w:val="nil"/>
              <w:right w:val="nil"/>
            </w:tcBorders>
          </w:tcPr>
          <w:p w14:paraId="64829AE1" w14:textId="77777777" w:rsidR="00210C56" w:rsidRPr="00210C56" w:rsidRDefault="00210C56" w:rsidP="00210C56">
            <w:pPr>
              <w:ind w:firstLine="0"/>
              <w:jc w:val="both"/>
              <w:rPr>
                <w:sz w:val="20"/>
                <w:szCs w:val="20"/>
                <w:lang w:val="en"/>
              </w:rPr>
            </w:pPr>
          </w:p>
        </w:tc>
        <w:tc>
          <w:tcPr>
            <w:tcW w:w="1560" w:type="dxa"/>
            <w:tcBorders>
              <w:left w:val="nil"/>
              <w:right w:val="nil"/>
            </w:tcBorders>
          </w:tcPr>
          <w:p w14:paraId="017C95B7" w14:textId="77777777" w:rsidR="00210C56" w:rsidRPr="00210C56" w:rsidRDefault="00210C56" w:rsidP="00210C56">
            <w:pPr>
              <w:ind w:firstLine="0"/>
              <w:jc w:val="both"/>
              <w:rPr>
                <w:sz w:val="20"/>
                <w:szCs w:val="20"/>
                <w:lang w:val="en"/>
              </w:rPr>
            </w:pPr>
          </w:p>
        </w:tc>
        <w:tc>
          <w:tcPr>
            <w:tcW w:w="1412" w:type="dxa"/>
            <w:tcBorders>
              <w:left w:val="nil"/>
              <w:right w:val="nil"/>
            </w:tcBorders>
          </w:tcPr>
          <w:p w14:paraId="23883725" w14:textId="77777777" w:rsidR="00210C56" w:rsidRPr="00210C56" w:rsidRDefault="00210C56" w:rsidP="00210C56">
            <w:pPr>
              <w:ind w:firstLine="0"/>
              <w:jc w:val="both"/>
              <w:rPr>
                <w:sz w:val="20"/>
                <w:szCs w:val="20"/>
                <w:lang w:val="en"/>
              </w:rPr>
            </w:pPr>
          </w:p>
        </w:tc>
      </w:tr>
      <w:tr w:rsidR="006364C1" w:rsidRPr="00210C56" w14:paraId="2EEBD540" w14:textId="77777777" w:rsidTr="006364C1">
        <w:tc>
          <w:tcPr>
            <w:tcW w:w="2138" w:type="dxa"/>
            <w:tcBorders>
              <w:left w:val="nil"/>
              <w:right w:val="nil"/>
            </w:tcBorders>
          </w:tcPr>
          <w:p w14:paraId="25874A10" w14:textId="77777777" w:rsidR="00210C56" w:rsidRPr="00210C56" w:rsidRDefault="00210C56" w:rsidP="00210C56">
            <w:pPr>
              <w:ind w:firstLine="0"/>
              <w:jc w:val="both"/>
              <w:rPr>
                <w:sz w:val="20"/>
                <w:szCs w:val="20"/>
                <w:lang w:val="en"/>
              </w:rPr>
            </w:pPr>
            <w:r w:rsidRPr="00210C56">
              <w:rPr>
                <w:sz w:val="20"/>
                <w:szCs w:val="20"/>
                <w:lang w:val="en"/>
              </w:rPr>
              <w:t>R square</w:t>
            </w:r>
          </w:p>
        </w:tc>
        <w:tc>
          <w:tcPr>
            <w:tcW w:w="709" w:type="dxa"/>
            <w:tcBorders>
              <w:left w:val="nil"/>
              <w:right w:val="nil"/>
            </w:tcBorders>
          </w:tcPr>
          <w:p w14:paraId="523119EF" w14:textId="77777777" w:rsidR="00210C56" w:rsidRPr="00210C56" w:rsidRDefault="00210C56" w:rsidP="00210C56">
            <w:pPr>
              <w:ind w:firstLine="0"/>
              <w:jc w:val="both"/>
              <w:rPr>
                <w:sz w:val="20"/>
                <w:szCs w:val="20"/>
                <w:lang w:val="en"/>
              </w:rPr>
            </w:pPr>
            <w:r w:rsidRPr="00210C56">
              <w:rPr>
                <w:sz w:val="20"/>
                <w:szCs w:val="20"/>
                <w:lang w:val="en"/>
              </w:rPr>
              <w:t>=</w:t>
            </w:r>
          </w:p>
        </w:tc>
        <w:tc>
          <w:tcPr>
            <w:tcW w:w="834" w:type="dxa"/>
            <w:tcBorders>
              <w:left w:val="nil"/>
              <w:right w:val="nil"/>
            </w:tcBorders>
          </w:tcPr>
          <w:p w14:paraId="40BCC2A9" w14:textId="77777777" w:rsidR="00210C56" w:rsidRPr="00210C56" w:rsidRDefault="00210C56" w:rsidP="00210C56">
            <w:pPr>
              <w:ind w:firstLine="0"/>
              <w:jc w:val="both"/>
              <w:rPr>
                <w:sz w:val="20"/>
                <w:szCs w:val="20"/>
                <w:lang w:val="en"/>
              </w:rPr>
            </w:pPr>
            <w:r w:rsidRPr="00210C56">
              <w:rPr>
                <w:sz w:val="20"/>
                <w:szCs w:val="20"/>
                <w:lang w:val="en"/>
              </w:rPr>
              <w:t>0.323</w:t>
            </w:r>
          </w:p>
        </w:tc>
        <w:tc>
          <w:tcPr>
            <w:tcW w:w="2551" w:type="dxa"/>
            <w:tcBorders>
              <w:left w:val="nil"/>
              <w:right w:val="nil"/>
            </w:tcBorders>
          </w:tcPr>
          <w:p w14:paraId="2484A942" w14:textId="77777777" w:rsidR="00210C56" w:rsidRPr="00210C56" w:rsidRDefault="00210C56" w:rsidP="00210C56">
            <w:pPr>
              <w:ind w:firstLine="0"/>
              <w:jc w:val="both"/>
              <w:rPr>
                <w:sz w:val="20"/>
                <w:szCs w:val="20"/>
                <w:lang w:val="en"/>
              </w:rPr>
            </w:pPr>
          </w:p>
        </w:tc>
        <w:tc>
          <w:tcPr>
            <w:tcW w:w="1560" w:type="dxa"/>
            <w:tcBorders>
              <w:left w:val="nil"/>
              <w:right w:val="nil"/>
            </w:tcBorders>
          </w:tcPr>
          <w:p w14:paraId="105E16FB" w14:textId="77777777" w:rsidR="00210C56" w:rsidRPr="00210C56" w:rsidRDefault="00210C56" w:rsidP="00210C56">
            <w:pPr>
              <w:ind w:firstLine="0"/>
              <w:jc w:val="both"/>
              <w:rPr>
                <w:sz w:val="20"/>
                <w:szCs w:val="20"/>
                <w:lang w:val="en"/>
              </w:rPr>
            </w:pPr>
          </w:p>
        </w:tc>
        <w:tc>
          <w:tcPr>
            <w:tcW w:w="1412" w:type="dxa"/>
            <w:tcBorders>
              <w:left w:val="nil"/>
              <w:right w:val="nil"/>
            </w:tcBorders>
          </w:tcPr>
          <w:p w14:paraId="04A45209" w14:textId="77777777" w:rsidR="00210C56" w:rsidRPr="00210C56" w:rsidRDefault="00210C56" w:rsidP="00210C56">
            <w:pPr>
              <w:ind w:firstLine="0"/>
              <w:jc w:val="both"/>
              <w:rPr>
                <w:sz w:val="20"/>
                <w:szCs w:val="20"/>
                <w:lang w:val="en"/>
              </w:rPr>
            </w:pPr>
          </w:p>
        </w:tc>
      </w:tr>
      <w:tr w:rsidR="00210C56" w:rsidRPr="00210C56" w14:paraId="13D9F95B" w14:textId="77777777" w:rsidTr="006364C1">
        <w:tc>
          <w:tcPr>
            <w:tcW w:w="2138" w:type="dxa"/>
            <w:tcBorders>
              <w:left w:val="nil"/>
              <w:right w:val="nil"/>
            </w:tcBorders>
          </w:tcPr>
          <w:p w14:paraId="2860B1A6" w14:textId="77777777" w:rsidR="00210C56" w:rsidRPr="00210C56" w:rsidRDefault="00210C56" w:rsidP="00210C56">
            <w:pPr>
              <w:ind w:firstLine="0"/>
              <w:jc w:val="both"/>
              <w:rPr>
                <w:sz w:val="20"/>
                <w:szCs w:val="20"/>
                <w:lang w:val="en"/>
              </w:rPr>
            </w:pPr>
            <w:r w:rsidRPr="00210C56">
              <w:rPr>
                <w:sz w:val="20"/>
                <w:szCs w:val="20"/>
                <w:lang w:val="en"/>
              </w:rPr>
              <w:t>Adjusted R Square</w:t>
            </w:r>
          </w:p>
        </w:tc>
        <w:tc>
          <w:tcPr>
            <w:tcW w:w="709" w:type="dxa"/>
            <w:tcBorders>
              <w:left w:val="nil"/>
              <w:right w:val="nil"/>
            </w:tcBorders>
          </w:tcPr>
          <w:p w14:paraId="208BE607" w14:textId="77777777" w:rsidR="00210C56" w:rsidRPr="00210C56" w:rsidRDefault="00210C56" w:rsidP="00210C56">
            <w:pPr>
              <w:ind w:firstLine="0"/>
              <w:jc w:val="both"/>
              <w:rPr>
                <w:sz w:val="20"/>
                <w:szCs w:val="20"/>
                <w:lang w:val="en"/>
              </w:rPr>
            </w:pPr>
            <w:r w:rsidRPr="00210C56">
              <w:rPr>
                <w:sz w:val="20"/>
                <w:szCs w:val="20"/>
                <w:lang w:val="en"/>
              </w:rPr>
              <w:t>=</w:t>
            </w:r>
          </w:p>
        </w:tc>
        <w:tc>
          <w:tcPr>
            <w:tcW w:w="834" w:type="dxa"/>
            <w:tcBorders>
              <w:left w:val="nil"/>
              <w:right w:val="nil"/>
            </w:tcBorders>
          </w:tcPr>
          <w:p w14:paraId="32046147" w14:textId="77777777" w:rsidR="00210C56" w:rsidRPr="00210C56" w:rsidRDefault="00210C56" w:rsidP="00210C56">
            <w:pPr>
              <w:ind w:firstLine="0"/>
              <w:jc w:val="both"/>
              <w:rPr>
                <w:sz w:val="20"/>
                <w:szCs w:val="20"/>
                <w:lang w:val="en"/>
              </w:rPr>
            </w:pPr>
            <w:r w:rsidRPr="00210C56">
              <w:rPr>
                <w:sz w:val="20"/>
                <w:szCs w:val="20"/>
                <w:lang w:val="en"/>
              </w:rPr>
              <w:t>0.308</w:t>
            </w:r>
          </w:p>
        </w:tc>
        <w:tc>
          <w:tcPr>
            <w:tcW w:w="2551" w:type="dxa"/>
            <w:tcBorders>
              <w:left w:val="nil"/>
              <w:right w:val="nil"/>
            </w:tcBorders>
          </w:tcPr>
          <w:p w14:paraId="6D14A640" w14:textId="77777777" w:rsidR="00210C56" w:rsidRPr="00210C56" w:rsidRDefault="00210C56" w:rsidP="00210C56">
            <w:pPr>
              <w:ind w:firstLine="0"/>
              <w:jc w:val="both"/>
              <w:rPr>
                <w:sz w:val="20"/>
                <w:szCs w:val="20"/>
                <w:lang w:val="en"/>
              </w:rPr>
            </w:pPr>
          </w:p>
        </w:tc>
        <w:tc>
          <w:tcPr>
            <w:tcW w:w="1560" w:type="dxa"/>
            <w:tcBorders>
              <w:left w:val="nil"/>
              <w:right w:val="nil"/>
            </w:tcBorders>
          </w:tcPr>
          <w:p w14:paraId="4C3ACDB3" w14:textId="77777777" w:rsidR="00210C56" w:rsidRPr="00210C56" w:rsidRDefault="00210C56" w:rsidP="00210C56">
            <w:pPr>
              <w:ind w:firstLine="0"/>
              <w:jc w:val="both"/>
              <w:rPr>
                <w:sz w:val="20"/>
                <w:szCs w:val="20"/>
                <w:lang w:val="en"/>
              </w:rPr>
            </w:pPr>
          </w:p>
        </w:tc>
        <w:tc>
          <w:tcPr>
            <w:tcW w:w="1412" w:type="dxa"/>
            <w:tcBorders>
              <w:left w:val="nil"/>
              <w:right w:val="nil"/>
            </w:tcBorders>
          </w:tcPr>
          <w:p w14:paraId="06F22DF6" w14:textId="77777777" w:rsidR="00210C56" w:rsidRPr="00210C56" w:rsidRDefault="00210C56" w:rsidP="00210C56">
            <w:pPr>
              <w:ind w:firstLine="0"/>
              <w:jc w:val="both"/>
              <w:rPr>
                <w:sz w:val="20"/>
                <w:szCs w:val="20"/>
                <w:lang w:val="en"/>
              </w:rPr>
            </w:pPr>
          </w:p>
        </w:tc>
      </w:tr>
      <w:tr w:rsidR="00210C56" w:rsidRPr="00210C56" w14:paraId="4C33AAFD" w14:textId="77777777" w:rsidTr="006364C1">
        <w:tc>
          <w:tcPr>
            <w:tcW w:w="2138" w:type="dxa"/>
            <w:tcBorders>
              <w:left w:val="nil"/>
              <w:right w:val="nil"/>
            </w:tcBorders>
          </w:tcPr>
          <w:p w14:paraId="2C3FDA5F" w14:textId="77777777" w:rsidR="00210C56" w:rsidRPr="00210C56" w:rsidRDefault="00210C56" w:rsidP="00210C56">
            <w:pPr>
              <w:ind w:firstLine="0"/>
              <w:jc w:val="both"/>
              <w:rPr>
                <w:sz w:val="20"/>
                <w:szCs w:val="20"/>
                <w:lang w:val="en"/>
              </w:rPr>
            </w:pPr>
            <w:r w:rsidRPr="00210C56">
              <w:rPr>
                <w:sz w:val="20"/>
                <w:szCs w:val="20"/>
                <w:lang w:val="en"/>
              </w:rPr>
              <w:t>Significance</w:t>
            </w:r>
          </w:p>
        </w:tc>
        <w:tc>
          <w:tcPr>
            <w:tcW w:w="709" w:type="dxa"/>
            <w:tcBorders>
              <w:left w:val="nil"/>
              <w:right w:val="nil"/>
            </w:tcBorders>
          </w:tcPr>
          <w:p w14:paraId="28A93ED6" w14:textId="77777777" w:rsidR="00210C56" w:rsidRPr="00210C56" w:rsidRDefault="00210C56" w:rsidP="00210C56">
            <w:pPr>
              <w:ind w:firstLine="0"/>
              <w:jc w:val="both"/>
              <w:rPr>
                <w:sz w:val="20"/>
                <w:szCs w:val="20"/>
                <w:lang w:val="en"/>
              </w:rPr>
            </w:pPr>
            <w:r w:rsidRPr="00210C56">
              <w:rPr>
                <w:sz w:val="20"/>
                <w:szCs w:val="20"/>
                <w:lang w:val="en"/>
              </w:rPr>
              <w:t>=</w:t>
            </w:r>
          </w:p>
        </w:tc>
        <w:tc>
          <w:tcPr>
            <w:tcW w:w="834" w:type="dxa"/>
            <w:tcBorders>
              <w:left w:val="nil"/>
              <w:right w:val="nil"/>
            </w:tcBorders>
          </w:tcPr>
          <w:p w14:paraId="7FDC66CA" w14:textId="77777777" w:rsidR="00210C56" w:rsidRPr="00210C56" w:rsidRDefault="00210C56" w:rsidP="00210C56">
            <w:pPr>
              <w:ind w:firstLine="0"/>
              <w:jc w:val="both"/>
              <w:rPr>
                <w:sz w:val="20"/>
                <w:szCs w:val="20"/>
                <w:lang w:val="en"/>
              </w:rPr>
            </w:pPr>
            <w:r w:rsidRPr="00210C56">
              <w:rPr>
                <w:sz w:val="20"/>
                <w:szCs w:val="20"/>
                <w:lang w:val="en"/>
              </w:rPr>
              <w:t>5%</w:t>
            </w:r>
          </w:p>
        </w:tc>
        <w:tc>
          <w:tcPr>
            <w:tcW w:w="2551" w:type="dxa"/>
            <w:tcBorders>
              <w:left w:val="nil"/>
              <w:right w:val="nil"/>
            </w:tcBorders>
          </w:tcPr>
          <w:p w14:paraId="4560456C" w14:textId="77777777" w:rsidR="00210C56" w:rsidRPr="00210C56" w:rsidRDefault="00210C56" w:rsidP="00210C56">
            <w:pPr>
              <w:ind w:firstLine="0"/>
              <w:jc w:val="both"/>
              <w:rPr>
                <w:sz w:val="20"/>
                <w:szCs w:val="20"/>
                <w:lang w:val="en"/>
              </w:rPr>
            </w:pPr>
          </w:p>
        </w:tc>
        <w:tc>
          <w:tcPr>
            <w:tcW w:w="1560" w:type="dxa"/>
            <w:tcBorders>
              <w:left w:val="nil"/>
              <w:right w:val="nil"/>
            </w:tcBorders>
          </w:tcPr>
          <w:p w14:paraId="19542BC2" w14:textId="77777777" w:rsidR="00210C56" w:rsidRPr="00210C56" w:rsidRDefault="00210C56" w:rsidP="00210C56">
            <w:pPr>
              <w:ind w:firstLine="0"/>
              <w:jc w:val="both"/>
              <w:rPr>
                <w:sz w:val="20"/>
                <w:szCs w:val="20"/>
                <w:lang w:val="en"/>
              </w:rPr>
            </w:pPr>
          </w:p>
        </w:tc>
        <w:tc>
          <w:tcPr>
            <w:tcW w:w="1412" w:type="dxa"/>
            <w:tcBorders>
              <w:left w:val="nil"/>
              <w:right w:val="nil"/>
            </w:tcBorders>
          </w:tcPr>
          <w:p w14:paraId="4D1F7E0E" w14:textId="77777777" w:rsidR="00210C56" w:rsidRPr="00210C56" w:rsidRDefault="00210C56" w:rsidP="00210C56">
            <w:pPr>
              <w:ind w:firstLine="0"/>
              <w:jc w:val="both"/>
              <w:rPr>
                <w:sz w:val="20"/>
                <w:szCs w:val="20"/>
                <w:lang w:val="en"/>
              </w:rPr>
            </w:pPr>
          </w:p>
        </w:tc>
      </w:tr>
    </w:tbl>
    <w:p w14:paraId="4F8D027B" w14:textId="6521C215" w:rsidR="00C523E1" w:rsidRDefault="00792453" w:rsidP="00C523E1">
      <w:pPr>
        <w:ind w:firstLine="720"/>
        <w:jc w:val="both"/>
        <w:rPr>
          <w:szCs w:val="24"/>
        </w:rPr>
      </w:pPr>
      <w:r w:rsidRPr="00792453">
        <w:rPr>
          <w:szCs w:val="24"/>
        </w:rPr>
        <w:t>Based on table 2 it can be seen that work experience and motivation have a significant positive effect on commitment, indicated by a sig value of 0.000 &lt;0.05 and 0.008 &lt;0.05. This means that if work experience and motivation increase, commitment will increase. The adjusted R2 value is 0.308 which means that 30.8% of the commitment variable can be explained by work experience and motivation variables, the remaining 69.2% is explained by other variables not included in this study.</w:t>
      </w:r>
    </w:p>
    <w:p w14:paraId="7072FA2D" w14:textId="77777777" w:rsidR="00792453" w:rsidRPr="00C523E1" w:rsidRDefault="00792453" w:rsidP="00C523E1">
      <w:pPr>
        <w:ind w:firstLine="720"/>
        <w:jc w:val="both"/>
        <w:rPr>
          <w:szCs w:val="24"/>
        </w:rPr>
      </w:pPr>
    </w:p>
    <w:p w14:paraId="4E9DD5A8" w14:textId="4EB78EF9" w:rsidR="00C523E1" w:rsidRPr="00C523E1" w:rsidRDefault="00C523E1" w:rsidP="00C523E1">
      <w:pPr>
        <w:ind w:firstLine="0"/>
        <w:jc w:val="center"/>
        <w:rPr>
          <w:iCs/>
          <w:sz w:val="20"/>
          <w:szCs w:val="20"/>
        </w:rPr>
      </w:pPr>
      <w:r w:rsidRPr="00C523E1">
        <w:rPr>
          <w:iCs/>
          <w:sz w:val="20"/>
          <w:szCs w:val="20"/>
          <w:lang w:val="en"/>
        </w:rPr>
        <w:t xml:space="preserve">Table </w:t>
      </w:r>
      <w:r w:rsidRPr="00C523E1">
        <w:rPr>
          <w:iCs/>
          <w:sz w:val="20"/>
          <w:szCs w:val="20"/>
        </w:rPr>
        <w:t>3</w:t>
      </w:r>
      <w:r w:rsidRPr="00C523E1">
        <w:rPr>
          <w:iCs/>
          <w:sz w:val="20"/>
          <w:szCs w:val="20"/>
          <w:lang w:val="en"/>
        </w:rPr>
        <w:t xml:space="preserve">. </w:t>
      </w:r>
      <w:r w:rsidRPr="00C523E1">
        <w:rPr>
          <w:iCs/>
          <w:sz w:val="20"/>
          <w:szCs w:val="20"/>
        </w:rPr>
        <w:t>Regression Results Equality Performance Variables using SEM</w:t>
      </w:r>
    </w:p>
    <w:tbl>
      <w:tblPr>
        <w:tblStyle w:val="TableGrid3"/>
        <w:tblW w:w="0" w:type="auto"/>
        <w:tblLook w:val="04A0" w:firstRow="1" w:lastRow="0" w:firstColumn="1" w:lastColumn="0" w:noHBand="0" w:noVBand="1"/>
      </w:tblPr>
      <w:tblGrid>
        <w:gridCol w:w="2138"/>
        <w:gridCol w:w="709"/>
        <w:gridCol w:w="834"/>
        <w:gridCol w:w="2551"/>
        <w:gridCol w:w="1560"/>
        <w:gridCol w:w="1412"/>
      </w:tblGrid>
      <w:tr w:rsidR="00C523E1" w:rsidRPr="00C523E1" w14:paraId="07C20995" w14:textId="77777777" w:rsidTr="006364C1">
        <w:tc>
          <w:tcPr>
            <w:tcW w:w="3681" w:type="dxa"/>
            <w:gridSpan w:val="3"/>
            <w:vMerge w:val="restart"/>
            <w:tcBorders>
              <w:left w:val="nil"/>
              <w:right w:val="nil"/>
            </w:tcBorders>
          </w:tcPr>
          <w:p w14:paraId="181A6EFE" w14:textId="77777777" w:rsidR="00C523E1" w:rsidRPr="00C523E1" w:rsidRDefault="00C523E1" w:rsidP="00C523E1">
            <w:pPr>
              <w:ind w:firstLine="0"/>
              <w:jc w:val="both"/>
              <w:rPr>
                <w:sz w:val="20"/>
                <w:szCs w:val="20"/>
                <w:lang w:val="en"/>
              </w:rPr>
            </w:pPr>
            <w:r w:rsidRPr="00C523E1">
              <w:rPr>
                <w:sz w:val="20"/>
                <w:szCs w:val="20"/>
                <w:lang w:val="en"/>
              </w:rPr>
              <w:t>Variable Independent</w:t>
            </w:r>
          </w:p>
        </w:tc>
        <w:tc>
          <w:tcPr>
            <w:tcW w:w="5523" w:type="dxa"/>
            <w:gridSpan w:val="3"/>
            <w:tcBorders>
              <w:left w:val="nil"/>
              <w:right w:val="nil"/>
            </w:tcBorders>
          </w:tcPr>
          <w:p w14:paraId="4920BB66" w14:textId="77777777" w:rsidR="00C523E1" w:rsidRPr="00C523E1" w:rsidRDefault="00C523E1" w:rsidP="00C523E1">
            <w:pPr>
              <w:ind w:firstLine="0"/>
              <w:jc w:val="both"/>
              <w:rPr>
                <w:sz w:val="20"/>
                <w:szCs w:val="20"/>
                <w:lang w:val="en"/>
              </w:rPr>
            </w:pPr>
            <w:r w:rsidRPr="00C523E1">
              <w:rPr>
                <w:sz w:val="20"/>
                <w:szCs w:val="20"/>
                <w:lang w:val="en"/>
              </w:rPr>
              <w:t xml:space="preserve">Variable Dependent : </w:t>
            </w:r>
            <w:r w:rsidRPr="00C523E1">
              <w:rPr>
                <w:b/>
                <w:bCs/>
                <w:sz w:val="20"/>
                <w:szCs w:val="20"/>
                <w:lang w:val="en"/>
              </w:rPr>
              <w:t>Performance</w:t>
            </w:r>
          </w:p>
        </w:tc>
      </w:tr>
      <w:tr w:rsidR="00C523E1" w:rsidRPr="00C523E1" w14:paraId="7B79AF64" w14:textId="77777777" w:rsidTr="006364C1">
        <w:tc>
          <w:tcPr>
            <w:tcW w:w="3681" w:type="dxa"/>
            <w:gridSpan w:val="3"/>
            <w:vMerge/>
            <w:tcBorders>
              <w:left w:val="nil"/>
              <w:right w:val="nil"/>
            </w:tcBorders>
          </w:tcPr>
          <w:p w14:paraId="39F63E38" w14:textId="77777777" w:rsidR="00C523E1" w:rsidRPr="00C523E1" w:rsidRDefault="00C523E1" w:rsidP="00C523E1">
            <w:pPr>
              <w:ind w:firstLine="0"/>
              <w:jc w:val="both"/>
              <w:rPr>
                <w:sz w:val="20"/>
                <w:szCs w:val="20"/>
                <w:lang w:val="en"/>
              </w:rPr>
            </w:pPr>
          </w:p>
        </w:tc>
        <w:tc>
          <w:tcPr>
            <w:tcW w:w="2551" w:type="dxa"/>
            <w:tcBorders>
              <w:left w:val="nil"/>
              <w:right w:val="nil"/>
            </w:tcBorders>
          </w:tcPr>
          <w:p w14:paraId="36BDC0D0" w14:textId="77777777" w:rsidR="00C523E1" w:rsidRPr="00C523E1" w:rsidRDefault="00C523E1" w:rsidP="00C523E1">
            <w:pPr>
              <w:ind w:firstLine="0"/>
              <w:jc w:val="both"/>
              <w:rPr>
                <w:sz w:val="20"/>
                <w:szCs w:val="20"/>
                <w:lang w:val="en"/>
              </w:rPr>
            </w:pPr>
            <w:r w:rsidRPr="00C523E1">
              <w:rPr>
                <w:sz w:val="20"/>
                <w:szCs w:val="20"/>
                <w:lang w:val="en"/>
              </w:rPr>
              <w:t>Coefficient beta</w:t>
            </w:r>
          </w:p>
        </w:tc>
        <w:tc>
          <w:tcPr>
            <w:tcW w:w="1560" w:type="dxa"/>
            <w:tcBorders>
              <w:left w:val="nil"/>
              <w:right w:val="nil"/>
            </w:tcBorders>
          </w:tcPr>
          <w:p w14:paraId="289AB691" w14:textId="77777777" w:rsidR="00C523E1" w:rsidRPr="00C523E1" w:rsidRDefault="00C523E1" w:rsidP="00C523E1">
            <w:pPr>
              <w:ind w:firstLine="0"/>
              <w:jc w:val="both"/>
              <w:rPr>
                <w:sz w:val="20"/>
                <w:szCs w:val="20"/>
                <w:lang w:val="en"/>
              </w:rPr>
            </w:pPr>
            <w:r w:rsidRPr="00C523E1">
              <w:rPr>
                <w:sz w:val="20"/>
                <w:szCs w:val="20"/>
                <w:lang w:val="en"/>
              </w:rPr>
              <w:t>t</w:t>
            </w:r>
          </w:p>
        </w:tc>
        <w:tc>
          <w:tcPr>
            <w:tcW w:w="1412" w:type="dxa"/>
            <w:tcBorders>
              <w:left w:val="nil"/>
              <w:right w:val="nil"/>
            </w:tcBorders>
          </w:tcPr>
          <w:p w14:paraId="525AABB2" w14:textId="77777777" w:rsidR="00C523E1" w:rsidRPr="00C523E1" w:rsidRDefault="00C523E1" w:rsidP="00C523E1">
            <w:pPr>
              <w:ind w:firstLine="0"/>
              <w:jc w:val="both"/>
              <w:rPr>
                <w:sz w:val="20"/>
                <w:szCs w:val="20"/>
                <w:lang w:val="en"/>
              </w:rPr>
            </w:pPr>
            <w:r w:rsidRPr="00C523E1">
              <w:rPr>
                <w:sz w:val="20"/>
                <w:szCs w:val="20"/>
                <w:lang w:val="en"/>
              </w:rPr>
              <w:t>Sig.</w:t>
            </w:r>
          </w:p>
        </w:tc>
      </w:tr>
      <w:tr w:rsidR="00C523E1" w:rsidRPr="00C523E1" w14:paraId="1C8BC94E" w14:textId="77777777" w:rsidTr="006364C1">
        <w:tc>
          <w:tcPr>
            <w:tcW w:w="3681" w:type="dxa"/>
            <w:gridSpan w:val="3"/>
            <w:tcBorders>
              <w:left w:val="nil"/>
              <w:right w:val="nil"/>
            </w:tcBorders>
          </w:tcPr>
          <w:p w14:paraId="064A8678" w14:textId="77777777" w:rsidR="00C523E1" w:rsidRPr="00C523E1" w:rsidRDefault="00C523E1" w:rsidP="00C523E1">
            <w:pPr>
              <w:ind w:firstLine="0"/>
              <w:jc w:val="both"/>
              <w:rPr>
                <w:sz w:val="20"/>
                <w:szCs w:val="20"/>
                <w:lang w:val="en"/>
              </w:rPr>
            </w:pPr>
            <w:r w:rsidRPr="00C523E1">
              <w:rPr>
                <w:sz w:val="20"/>
                <w:szCs w:val="20"/>
                <w:lang w:val="en"/>
              </w:rPr>
              <w:t>Experience Work</w:t>
            </w:r>
          </w:p>
        </w:tc>
        <w:tc>
          <w:tcPr>
            <w:tcW w:w="2551" w:type="dxa"/>
            <w:tcBorders>
              <w:left w:val="nil"/>
              <w:right w:val="nil"/>
            </w:tcBorders>
          </w:tcPr>
          <w:p w14:paraId="741555E0" w14:textId="77777777" w:rsidR="00C523E1" w:rsidRPr="00C523E1" w:rsidRDefault="00C523E1" w:rsidP="00C523E1">
            <w:pPr>
              <w:ind w:firstLine="0"/>
              <w:jc w:val="both"/>
              <w:rPr>
                <w:sz w:val="20"/>
                <w:szCs w:val="20"/>
                <w:lang w:val="en"/>
              </w:rPr>
            </w:pPr>
            <w:r w:rsidRPr="00C523E1">
              <w:rPr>
                <w:sz w:val="20"/>
                <w:szCs w:val="20"/>
                <w:lang w:val="en"/>
              </w:rPr>
              <w:t>0.42</w:t>
            </w:r>
          </w:p>
        </w:tc>
        <w:tc>
          <w:tcPr>
            <w:tcW w:w="1560" w:type="dxa"/>
            <w:tcBorders>
              <w:left w:val="nil"/>
              <w:right w:val="nil"/>
            </w:tcBorders>
          </w:tcPr>
          <w:p w14:paraId="718C59A0" w14:textId="77777777" w:rsidR="00C523E1" w:rsidRPr="00C523E1" w:rsidRDefault="00C523E1" w:rsidP="00C523E1">
            <w:pPr>
              <w:ind w:firstLine="0"/>
              <w:jc w:val="both"/>
              <w:rPr>
                <w:sz w:val="20"/>
                <w:szCs w:val="20"/>
                <w:lang w:val="en"/>
              </w:rPr>
            </w:pPr>
            <w:r w:rsidRPr="00C523E1">
              <w:rPr>
                <w:sz w:val="20"/>
                <w:szCs w:val="20"/>
                <w:lang w:val="en"/>
              </w:rPr>
              <w:t>4.93</w:t>
            </w:r>
          </w:p>
        </w:tc>
        <w:tc>
          <w:tcPr>
            <w:tcW w:w="1412" w:type="dxa"/>
            <w:tcBorders>
              <w:left w:val="nil"/>
              <w:right w:val="nil"/>
            </w:tcBorders>
          </w:tcPr>
          <w:p w14:paraId="305734A7" w14:textId="77777777" w:rsidR="00C523E1" w:rsidRPr="00C523E1" w:rsidRDefault="00C523E1" w:rsidP="00C523E1">
            <w:pPr>
              <w:ind w:firstLine="0"/>
              <w:jc w:val="both"/>
              <w:rPr>
                <w:sz w:val="20"/>
                <w:szCs w:val="20"/>
                <w:lang w:val="en"/>
              </w:rPr>
            </w:pPr>
            <w:r w:rsidRPr="00C523E1">
              <w:rPr>
                <w:sz w:val="20"/>
                <w:szCs w:val="20"/>
                <w:lang w:val="en"/>
              </w:rPr>
              <w:t>0.000</w:t>
            </w:r>
          </w:p>
        </w:tc>
      </w:tr>
      <w:tr w:rsidR="00C523E1" w:rsidRPr="00C523E1" w14:paraId="1AFD1372" w14:textId="77777777" w:rsidTr="006364C1">
        <w:tc>
          <w:tcPr>
            <w:tcW w:w="3681" w:type="dxa"/>
            <w:gridSpan w:val="3"/>
            <w:tcBorders>
              <w:left w:val="nil"/>
              <w:right w:val="nil"/>
            </w:tcBorders>
          </w:tcPr>
          <w:p w14:paraId="39B6789F" w14:textId="77777777" w:rsidR="00C523E1" w:rsidRPr="00C523E1" w:rsidRDefault="00C523E1" w:rsidP="00C523E1">
            <w:pPr>
              <w:ind w:firstLine="0"/>
              <w:jc w:val="both"/>
              <w:rPr>
                <w:sz w:val="20"/>
                <w:szCs w:val="20"/>
                <w:lang w:val="en"/>
              </w:rPr>
            </w:pPr>
            <w:r w:rsidRPr="00C523E1">
              <w:rPr>
                <w:sz w:val="20"/>
                <w:szCs w:val="20"/>
                <w:lang w:val="en"/>
              </w:rPr>
              <w:t>Motivation</w:t>
            </w:r>
          </w:p>
        </w:tc>
        <w:tc>
          <w:tcPr>
            <w:tcW w:w="2551" w:type="dxa"/>
            <w:tcBorders>
              <w:left w:val="nil"/>
              <w:bottom w:val="single" w:sz="4" w:space="0" w:color="auto"/>
              <w:right w:val="nil"/>
            </w:tcBorders>
          </w:tcPr>
          <w:p w14:paraId="283E49F3" w14:textId="77777777" w:rsidR="00C523E1" w:rsidRPr="00C523E1" w:rsidRDefault="00C523E1" w:rsidP="00C523E1">
            <w:pPr>
              <w:ind w:firstLine="0"/>
              <w:jc w:val="both"/>
              <w:rPr>
                <w:sz w:val="20"/>
                <w:szCs w:val="20"/>
                <w:lang w:val="en"/>
              </w:rPr>
            </w:pPr>
            <w:r w:rsidRPr="00C523E1">
              <w:rPr>
                <w:sz w:val="20"/>
                <w:szCs w:val="20"/>
                <w:lang w:val="en"/>
              </w:rPr>
              <w:t>0.22</w:t>
            </w:r>
          </w:p>
        </w:tc>
        <w:tc>
          <w:tcPr>
            <w:tcW w:w="1560" w:type="dxa"/>
            <w:tcBorders>
              <w:left w:val="nil"/>
              <w:bottom w:val="single" w:sz="4" w:space="0" w:color="auto"/>
              <w:right w:val="nil"/>
            </w:tcBorders>
          </w:tcPr>
          <w:p w14:paraId="78A7AF1D" w14:textId="77777777" w:rsidR="00C523E1" w:rsidRPr="00C523E1" w:rsidRDefault="00C523E1" w:rsidP="00C523E1">
            <w:pPr>
              <w:ind w:firstLine="0"/>
              <w:jc w:val="both"/>
              <w:rPr>
                <w:sz w:val="20"/>
                <w:szCs w:val="20"/>
                <w:lang w:val="en"/>
              </w:rPr>
            </w:pPr>
            <w:r w:rsidRPr="00C523E1">
              <w:rPr>
                <w:sz w:val="20"/>
                <w:szCs w:val="20"/>
                <w:lang w:val="en"/>
              </w:rPr>
              <w:t>2.67</w:t>
            </w:r>
          </w:p>
        </w:tc>
        <w:tc>
          <w:tcPr>
            <w:tcW w:w="1412" w:type="dxa"/>
            <w:tcBorders>
              <w:left w:val="nil"/>
              <w:right w:val="nil"/>
            </w:tcBorders>
          </w:tcPr>
          <w:p w14:paraId="53F5E272" w14:textId="77777777" w:rsidR="00C523E1" w:rsidRPr="00C523E1" w:rsidRDefault="00C523E1" w:rsidP="00C523E1">
            <w:pPr>
              <w:ind w:firstLine="0"/>
              <w:jc w:val="both"/>
              <w:rPr>
                <w:sz w:val="20"/>
                <w:szCs w:val="20"/>
                <w:lang w:val="en"/>
              </w:rPr>
            </w:pPr>
            <w:r w:rsidRPr="00C523E1">
              <w:rPr>
                <w:sz w:val="20"/>
                <w:szCs w:val="20"/>
                <w:lang w:val="en"/>
              </w:rPr>
              <w:t>0.009</w:t>
            </w:r>
          </w:p>
        </w:tc>
      </w:tr>
      <w:tr w:rsidR="00C523E1" w:rsidRPr="00C523E1" w14:paraId="5C313758" w14:textId="77777777" w:rsidTr="006364C1">
        <w:tc>
          <w:tcPr>
            <w:tcW w:w="3681" w:type="dxa"/>
            <w:gridSpan w:val="3"/>
            <w:tcBorders>
              <w:left w:val="nil"/>
              <w:right w:val="nil"/>
            </w:tcBorders>
          </w:tcPr>
          <w:p w14:paraId="79DFC2B2" w14:textId="77777777" w:rsidR="00C523E1" w:rsidRPr="00C523E1" w:rsidRDefault="00C523E1" w:rsidP="00C523E1">
            <w:pPr>
              <w:ind w:firstLine="0"/>
              <w:jc w:val="both"/>
              <w:rPr>
                <w:sz w:val="20"/>
                <w:szCs w:val="20"/>
                <w:lang w:val="en"/>
              </w:rPr>
            </w:pPr>
            <w:r w:rsidRPr="00C523E1">
              <w:rPr>
                <w:sz w:val="20"/>
                <w:szCs w:val="20"/>
                <w:lang w:val="en"/>
              </w:rPr>
              <w:t>Commitment</w:t>
            </w:r>
          </w:p>
        </w:tc>
        <w:tc>
          <w:tcPr>
            <w:tcW w:w="2551" w:type="dxa"/>
            <w:tcBorders>
              <w:left w:val="nil"/>
              <w:bottom w:val="single" w:sz="4" w:space="0" w:color="auto"/>
              <w:right w:val="nil"/>
            </w:tcBorders>
          </w:tcPr>
          <w:p w14:paraId="183D0F0B" w14:textId="77777777" w:rsidR="00C523E1" w:rsidRPr="00C523E1" w:rsidRDefault="00C523E1" w:rsidP="00C523E1">
            <w:pPr>
              <w:ind w:firstLine="0"/>
              <w:jc w:val="both"/>
              <w:rPr>
                <w:sz w:val="20"/>
                <w:szCs w:val="20"/>
                <w:lang w:val="en"/>
              </w:rPr>
            </w:pPr>
            <w:r w:rsidRPr="00C523E1">
              <w:rPr>
                <w:sz w:val="20"/>
                <w:szCs w:val="20"/>
                <w:lang w:val="en"/>
              </w:rPr>
              <w:t>0.28</w:t>
            </w:r>
          </w:p>
        </w:tc>
        <w:tc>
          <w:tcPr>
            <w:tcW w:w="1560" w:type="dxa"/>
            <w:tcBorders>
              <w:left w:val="nil"/>
              <w:bottom w:val="single" w:sz="4" w:space="0" w:color="auto"/>
              <w:right w:val="nil"/>
            </w:tcBorders>
          </w:tcPr>
          <w:p w14:paraId="7976CD85" w14:textId="77777777" w:rsidR="00C523E1" w:rsidRPr="00C523E1" w:rsidRDefault="00C523E1" w:rsidP="00C523E1">
            <w:pPr>
              <w:ind w:firstLine="0"/>
              <w:jc w:val="both"/>
              <w:rPr>
                <w:sz w:val="20"/>
                <w:szCs w:val="20"/>
                <w:lang w:val="en"/>
              </w:rPr>
            </w:pPr>
            <w:r w:rsidRPr="00C523E1">
              <w:rPr>
                <w:sz w:val="20"/>
                <w:szCs w:val="20"/>
                <w:lang w:val="en"/>
              </w:rPr>
              <w:t>3.35</w:t>
            </w:r>
          </w:p>
        </w:tc>
        <w:tc>
          <w:tcPr>
            <w:tcW w:w="1412" w:type="dxa"/>
            <w:tcBorders>
              <w:left w:val="nil"/>
              <w:right w:val="nil"/>
            </w:tcBorders>
          </w:tcPr>
          <w:p w14:paraId="5DB74DD1" w14:textId="77777777" w:rsidR="00C523E1" w:rsidRPr="00C523E1" w:rsidRDefault="00C523E1" w:rsidP="00C523E1">
            <w:pPr>
              <w:ind w:firstLine="0"/>
              <w:jc w:val="both"/>
              <w:rPr>
                <w:sz w:val="20"/>
                <w:szCs w:val="20"/>
                <w:lang w:val="en"/>
              </w:rPr>
            </w:pPr>
            <w:r w:rsidRPr="00C523E1">
              <w:rPr>
                <w:sz w:val="20"/>
                <w:szCs w:val="20"/>
                <w:lang w:val="en"/>
              </w:rPr>
              <w:t>0.001</w:t>
            </w:r>
          </w:p>
        </w:tc>
      </w:tr>
      <w:tr w:rsidR="00C523E1" w:rsidRPr="00C523E1" w14:paraId="1185F228" w14:textId="77777777" w:rsidTr="006364C1">
        <w:tc>
          <w:tcPr>
            <w:tcW w:w="2138" w:type="dxa"/>
            <w:tcBorders>
              <w:left w:val="nil"/>
              <w:right w:val="nil"/>
            </w:tcBorders>
          </w:tcPr>
          <w:p w14:paraId="672524CD" w14:textId="77777777" w:rsidR="00C523E1" w:rsidRPr="00C523E1" w:rsidRDefault="00C523E1" w:rsidP="00C523E1">
            <w:pPr>
              <w:ind w:firstLine="0"/>
              <w:jc w:val="both"/>
              <w:rPr>
                <w:sz w:val="20"/>
                <w:szCs w:val="20"/>
                <w:lang w:val="en"/>
              </w:rPr>
            </w:pPr>
            <w:r w:rsidRPr="00C523E1">
              <w:rPr>
                <w:sz w:val="20"/>
                <w:szCs w:val="20"/>
                <w:lang w:val="en"/>
              </w:rPr>
              <w:t>F-Sig</w:t>
            </w:r>
          </w:p>
        </w:tc>
        <w:tc>
          <w:tcPr>
            <w:tcW w:w="709" w:type="dxa"/>
            <w:tcBorders>
              <w:left w:val="nil"/>
              <w:right w:val="nil"/>
            </w:tcBorders>
          </w:tcPr>
          <w:p w14:paraId="1701B3A7" w14:textId="77777777" w:rsidR="00C523E1" w:rsidRPr="00C523E1" w:rsidRDefault="00C523E1" w:rsidP="00C523E1">
            <w:pPr>
              <w:ind w:firstLine="0"/>
              <w:jc w:val="both"/>
              <w:rPr>
                <w:sz w:val="20"/>
                <w:szCs w:val="20"/>
                <w:lang w:val="en"/>
              </w:rPr>
            </w:pPr>
            <w:r w:rsidRPr="00C523E1">
              <w:rPr>
                <w:sz w:val="20"/>
                <w:szCs w:val="20"/>
                <w:lang w:val="en"/>
              </w:rPr>
              <w:t>=</w:t>
            </w:r>
          </w:p>
        </w:tc>
        <w:tc>
          <w:tcPr>
            <w:tcW w:w="834" w:type="dxa"/>
            <w:tcBorders>
              <w:left w:val="nil"/>
              <w:right w:val="nil"/>
            </w:tcBorders>
          </w:tcPr>
          <w:p w14:paraId="3755C5B7" w14:textId="77777777" w:rsidR="00C523E1" w:rsidRPr="00C523E1" w:rsidRDefault="00C523E1" w:rsidP="00C523E1">
            <w:pPr>
              <w:ind w:firstLine="0"/>
              <w:jc w:val="both"/>
              <w:rPr>
                <w:sz w:val="20"/>
                <w:szCs w:val="20"/>
                <w:lang w:val="en"/>
              </w:rPr>
            </w:pPr>
            <w:r w:rsidRPr="00C523E1">
              <w:rPr>
                <w:sz w:val="20"/>
                <w:szCs w:val="20"/>
                <w:lang w:val="en"/>
              </w:rPr>
              <w:t>0.000</w:t>
            </w:r>
          </w:p>
        </w:tc>
        <w:tc>
          <w:tcPr>
            <w:tcW w:w="2551" w:type="dxa"/>
            <w:tcBorders>
              <w:left w:val="nil"/>
              <w:right w:val="nil"/>
            </w:tcBorders>
          </w:tcPr>
          <w:p w14:paraId="708ED239" w14:textId="77777777" w:rsidR="00C523E1" w:rsidRPr="00C523E1" w:rsidRDefault="00C523E1" w:rsidP="00C523E1">
            <w:pPr>
              <w:ind w:firstLine="0"/>
              <w:jc w:val="both"/>
              <w:rPr>
                <w:sz w:val="20"/>
                <w:szCs w:val="20"/>
                <w:lang w:val="en"/>
              </w:rPr>
            </w:pPr>
          </w:p>
        </w:tc>
        <w:tc>
          <w:tcPr>
            <w:tcW w:w="1560" w:type="dxa"/>
            <w:tcBorders>
              <w:left w:val="nil"/>
              <w:right w:val="nil"/>
            </w:tcBorders>
          </w:tcPr>
          <w:p w14:paraId="3223BF42" w14:textId="77777777" w:rsidR="00C523E1" w:rsidRPr="00C523E1" w:rsidRDefault="00C523E1" w:rsidP="00C523E1">
            <w:pPr>
              <w:ind w:firstLine="0"/>
              <w:jc w:val="both"/>
              <w:rPr>
                <w:sz w:val="20"/>
                <w:szCs w:val="20"/>
                <w:lang w:val="en"/>
              </w:rPr>
            </w:pPr>
          </w:p>
        </w:tc>
        <w:tc>
          <w:tcPr>
            <w:tcW w:w="1412" w:type="dxa"/>
            <w:tcBorders>
              <w:left w:val="nil"/>
              <w:right w:val="nil"/>
            </w:tcBorders>
          </w:tcPr>
          <w:p w14:paraId="206D05D8" w14:textId="77777777" w:rsidR="00C523E1" w:rsidRPr="00C523E1" w:rsidRDefault="00C523E1" w:rsidP="00C523E1">
            <w:pPr>
              <w:ind w:firstLine="0"/>
              <w:jc w:val="both"/>
              <w:rPr>
                <w:sz w:val="20"/>
                <w:szCs w:val="20"/>
                <w:lang w:val="en"/>
              </w:rPr>
            </w:pPr>
          </w:p>
        </w:tc>
      </w:tr>
      <w:tr w:rsidR="00C523E1" w:rsidRPr="00C523E1" w14:paraId="5EAEE8D9" w14:textId="77777777" w:rsidTr="006364C1">
        <w:tc>
          <w:tcPr>
            <w:tcW w:w="2138" w:type="dxa"/>
            <w:tcBorders>
              <w:left w:val="nil"/>
              <w:right w:val="nil"/>
            </w:tcBorders>
          </w:tcPr>
          <w:p w14:paraId="5AA7B555" w14:textId="77777777" w:rsidR="00C523E1" w:rsidRPr="00C523E1" w:rsidRDefault="00C523E1" w:rsidP="00C523E1">
            <w:pPr>
              <w:ind w:firstLine="0"/>
              <w:jc w:val="both"/>
              <w:rPr>
                <w:sz w:val="20"/>
                <w:szCs w:val="20"/>
                <w:lang w:val="en"/>
              </w:rPr>
            </w:pPr>
            <w:r w:rsidRPr="00C523E1">
              <w:rPr>
                <w:sz w:val="20"/>
                <w:szCs w:val="20"/>
                <w:lang w:val="en"/>
              </w:rPr>
              <w:t>R square</w:t>
            </w:r>
          </w:p>
        </w:tc>
        <w:tc>
          <w:tcPr>
            <w:tcW w:w="709" w:type="dxa"/>
            <w:tcBorders>
              <w:left w:val="nil"/>
              <w:right w:val="nil"/>
            </w:tcBorders>
          </w:tcPr>
          <w:p w14:paraId="6EE45EAF" w14:textId="77777777" w:rsidR="00C523E1" w:rsidRPr="00C523E1" w:rsidRDefault="00C523E1" w:rsidP="00C523E1">
            <w:pPr>
              <w:ind w:firstLine="0"/>
              <w:jc w:val="both"/>
              <w:rPr>
                <w:sz w:val="20"/>
                <w:szCs w:val="20"/>
                <w:lang w:val="en"/>
              </w:rPr>
            </w:pPr>
            <w:r w:rsidRPr="00C523E1">
              <w:rPr>
                <w:sz w:val="20"/>
                <w:szCs w:val="20"/>
                <w:lang w:val="en"/>
              </w:rPr>
              <w:t>=</w:t>
            </w:r>
          </w:p>
        </w:tc>
        <w:tc>
          <w:tcPr>
            <w:tcW w:w="834" w:type="dxa"/>
            <w:tcBorders>
              <w:left w:val="nil"/>
              <w:right w:val="nil"/>
            </w:tcBorders>
          </w:tcPr>
          <w:p w14:paraId="4A11537D" w14:textId="77777777" w:rsidR="00C523E1" w:rsidRPr="00C523E1" w:rsidRDefault="00C523E1" w:rsidP="00C523E1">
            <w:pPr>
              <w:ind w:firstLine="0"/>
              <w:jc w:val="both"/>
              <w:rPr>
                <w:sz w:val="20"/>
                <w:szCs w:val="20"/>
                <w:lang w:val="en"/>
              </w:rPr>
            </w:pPr>
            <w:r w:rsidRPr="00C523E1">
              <w:rPr>
                <w:sz w:val="20"/>
                <w:szCs w:val="20"/>
                <w:lang w:val="en"/>
              </w:rPr>
              <w:t>0.585</w:t>
            </w:r>
          </w:p>
        </w:tc>
        <w:tc>
          <w:tcPr>
            <w:tcW w:w="2551" w:type="dxa"/>
            <w:tcBorders>
              <w:left w:val="nil"/>
              <w:right w:val="nil"/>
            </w:tcBorders>
          </w:tcPr>
          <w:p w14:paraId="15BCBC41" w14:textId="77777777" w:rsidR="00C523E1" w:rsidRPr="00C523E1" w:rsidRDefault="00C523E1" w:rsidP="00C523E1">
            <w:pPr>
              <w:ind w:firstLine="0"/>
              <w:jc w:val="both"/>
              <w:rPr>
                <w:sz w:val="20"/>
                <w:szCs w:val="20"/>
                <w:lang w:val="en"/>
              </w:rPr>
            </w:pPr>
          </w:p>
        </w:tc>
        <w:tc>
          <w:tcPr>
            <w:tcW w:w="1560" w:type="dxa"/>
            <w:tcBorders>
              <w:left w:val="nil"/>
              <w:right w:val="nil"/>
            </w:tcBorders>
          </w:tcPr>
          <w:p w14:paraId="048EB4ED" w14:textId="77777777" w:rsidR="00C523E1" w:rsidRPr="00C523E1" w:rsidRDefault="00C523E1" w:rsidP="00C523E1">
            <w:pPr>
              <w:ind w:firstLine="0"/>
              <w:jc w:val="both"/>
              <w:rPr>
                <w:sz w:val="20"/>
                <w:szCs w:val="20"/>
                <w:lang w:val="en"/>
              </w:rPr>
            </w:pPr>
          </w:p>
        </w:tc>
        <w:tc>
          <w:tcPr>
            <w:tcW w:w="1412" w:type="dxa"/>
            <w:tcBorders>
              <w:left w:val="nil"/>
              <w:right w:val="nil"/>
            </w:tcBorders>
          </w:tcPr>
          <w:p w14:paraId="71BF9B1F" w14:textId="77777777" w:rsidR="00C523E1" w:rsidRPr="00C523E1" w:rsidRDefault="00C523E1" w:rsidP="00C523E1">
            <w:pPr>
              <w:ind w:firstLine="0"/>
              <w:jc w:val="both"/>
              <w:rPr>
                <w:sz w:val="20"/>
                <w:szCs w:val="20"/>
                <w:lang w:val="en"/>
              </w:rPr>
            </w:pPr>
          </w:p>
        </w:tc>
      </w:tr>
      <w:tr w:rsidR="00C523E1" w:rsidRPr="00C523E1" w14:paraId="5D8BC39B" w14:textId="77777777" w:rsidTr="006364C1">
        <w:tc>
          <w:tcPr>
            <w:tcW w:w="2138" w:type="dxa"/>
            <w:tcBorders>
              <w:left w:val="nil"/>
              <w:right w:val="nil"/>
            </w:tcBorders>
          </w:tcPr>
          <w:p w14:paraId="7727BEF2" w14:textId="77777777" w:rsidR="00C523E1" w:rsidRPr="00C523E1" w:rsidRDefault="00C523E1" w:rsidP="00C523E1">
            <w:pPr>
              <w:ind w:firstLine="0"/>
              <w:jc w:val="both"/>
              <w:rPr>
                <w:sz w:val="20"/>
                <w:szCs w:val="20"/>
                <w:lang w:val="en"/>
              </w:rPr>
            </w:pPr>
            <w:r w:rsidRPr="00C523E1">
              <w:rPr>
                <w:sz w:val="20"/>
                <w:szCs w:val="20"/>
                <w:lang w:val="en"/>
              </w:rPr>
              <w:t>Adjusted R Square</w:t>
            </w:r>
          </w:p>
        </w:tc>
        <w:tc>
          <w:tcPr>
            <w:tcW w:w="709" w:type="dxa"/>
            <w:tcBorders>
              <w:left w:val="nil"/>
              <w:right w:val="nil"/>
            </w:tcBorders>
          </w:tcPr>
          <w:p w14:paraId="4AD53C41" w14:textId="77777777" w:rsidR="00C523E1" w:rsidRPr="00C523E1" w:rsidRDefault="00C523E1" w:rsidP="00C523E1">
            <w:pPr>
              <w:ind w:firstLine="0"/>
              <w:jc w:val="both"/>
              <w:rPr>
                <w:sz w:val="20"/>
                <w:szCs w:val="20"/>
                <w:lang w:val="en"/>
              </w:rPr>
            </w:pPr>
            <w:r w:rsidRPr="00C523E1">
              <w:rPr>
                <w:sz w:val="20"/>
                <w:szCs w:val="20"/>
                <w:lang w:val="en"/>
              </w:rPr>
              <w:t>=</w:t>
            </w:r>
          </w:p>
        </w:tc>
        <w:tc>
          <w:tcPr>
            <w:tcW w:w="834" w:type="dxa"/>
            <w:tcBorders>
              <w:left w:val="nil"/>
              <w:right w:val="nil"/>
            </w:tcBorders>
          </w:tcPr>
          <w:p w14:paraId="71756AA5" w14:textId="77777777" w:rsidR="00C523E1" w:rsidRPr="00C523E1" w:rsidRDefault="00C523E1" w:rsidP="00C523E1">
            <w:pPr>
              <w:ind w:firstLine="0"/>
              <w:jc w:val="both"/>
              <w:rPr>
                <w:sz w:val="20"/>
                <w:szCs w:val="20"/>
                <w:lang w:val="en"/>
              </w:rPr>
            </w:pPr>
            <w:r w:rsidRPr="00C523E1">
              <w:rPr>
                <w:sz w:val="20"/>
                <w:szCs w:val="20"/>
                <w:lang w:val="en"/>
              </w:rPr>
              <w:t>0.570</w:t>
            </w:r>
          </w:p>
        </w:tc>
        <w:tc>
          <w:tcPr>
            <w:tcW w:w="2551" w:type="dxa"/>
            <w:tcBorders>
              <w:left w:val="nil"/>
              <w:right w:val="nil"/>
            </w:tcBorders>
          </w:tcPr>
          <w:p w14:paraId="40891E66" w14:textId="77777777" w:rsidR="00C523E1" w:rsidRPr="00C523E1" w:rsidRDefault="00C523E1" w:rsidP="00C523E1">
            <w:pPr>
              <w:ind w:firstLine="0"/>
              <w:jc w:val="both"/>
              <w:rPr>
                <w:sz w:val="20"/>
                <w:szCs w:val="20"/>
                <w:lang w:val="en"/>
              </w:rPr>
            </w:pPr>
          </w:p>
        </w:tc>
        <w:tc>
          <w:tcPr>
            <w:tcW w:w="1560" w:type="dxa"/>
            <w:tcBorders>
              <w:left w:val="nil"/>
              <w:right w:val="nil"/>
            </w:tcBorders>
          </w:tcPr>
          <w:p w14:paraId="675FFC9A" w14:textId="77777777" w:rsidR="00C523E1" w:rsidRPr="00C523E1" w:rsidRDefault="00C523E1" w:rsidP="00C523E1">
            <w:pPr>
              <w:ind w:firstLine="0"/>
              <w:jc w:val="both"/>
              <w:rPr>
                <w:sz w:val="20"/>
                <w:szCs w:val="20"/>
                <w:lang w:val="en"/>
              </w:rPr>
            </w:pPr>
          </w:p>
        </w:tc>
        <w:tc>
          <w:tcPr>
            <w:tcW w:w="1412" w:type="dxa"/>
            <w:tcBorders>
              <w:left w:val="nil"/>
              <w:right w:val="nil"/>
            </w:tcBorders>
          </w:tcPr>
          <w:p w14:paraId="686AA012" w14:textId="77777777" w:rsidR="00C523E1" w:rsidRPr="00C523E1" w:rsidRDefault="00C523E1" w:rsidP="00C523E1">
            <w:pPr>
              <w:ind w:firstLine="0"/>
              <w:jc w:val="both"/>
              <w:rPr>
                <w:sz w:val="20"/>
                <w:szCs w:val="20"/>
                <w:lang w:val="en"/>
              </w:rPr>
            </w:pPr>
          </w:p>
        </w:tc>
      </w:tr>
      <w:tr w:rsidR="00C523E1" w:rsidRPr="00C523E1" w14:paraId="45AB46EE" w14:textId="77777777" w:rsidTr="006364C1">
        <w:tc>
          <w:tcPr>
            <w:tcW w:w="2138" w:type="dxa"/>
            <w:tcBorders>
              <w:left w:val="nil"/>
              <w:right w:val="nil"/>
            </w:tcBorders>
          </w:tcPr>
          <w:p w14:paraId="55DBEED1" w14:textId="77777777" w:rsidR="00C523E1" w:rsidRPr="00C523E1" w:rsidRDefault="00C523E1" w:rsidP="00C523E1">
            <w:pPr>
              <w:ind w:firstLine="0"/>
              <w:jc w:val="both"/>
              <w:rPr>
                <w:sz w:val="20"/>
                <w:szCs w:val="20"/>
                <w:lang w:val="en"/>
              </w:rPr>
            </w:pPr>
            <w:r w:rsidRPr="00C523E1">
              <w:rPr>
                <w:sz w:val="20"/>
                <w:szCs w:val="20"/>
                <w:lang w:val="en"/>
              </w:rPr>
              <w:t>Significance</w:t>
            </w:r>
          </w:p>
        </w:tc>
        <w:tc>
          <w:tcPr>
            <w:tcW w:w="709" w:type="dxa"/>
            <w:tcBorders>
              <w:left w:val="nil"/>
              <w:right w:val="nil"/>
            </w:tcBorders>
          </w:tcPr>
          <w:p w14:paraId="7165BC23" w14:textId="77777777" w:rsidR="00C523E1" w:rsidRPr="00C523E1" w:rsidRDefault="00C523E1" w:rsidP="00C523E1">
            <w:pPr>
              <w:ind w:firstLine="0"/>
              <w:jc w:val="both"/>
              <w:rPr>
                <w:sz w:val="20"/>
                <w:szCs w:val="20"/>
                <w:lang w:val="en"/>
              </w:rPr>
            </w:pPr>
            <w:r w:rsidRPr="00C523E1">
              <w:rPr>
                <w:sz w:val="20"/>
                <w:szCs w:val="20"/>
                <w:lang w:val="en"/>
              </w:rPr>
              <w:t>=</w:t>
            </w:r>
          </w:p>
        </w:tc>
        <w:tc>
          <w:tcPr>
            <w:tcW w:w="834" w:type="dxa"/>
            <w:tcBorders>
              <w:left w:val="nil"/>
              <w:right w:val="nil"/>
            </w:tcBorders>
          </w:tcPr>
          <w:p w14:paraId="66EF805A" w14:textId="77777777" w:rsidR="00C523E1" w:rsidRPr="00C523E1" w:rsidRDefault="00C523E1" w:rsidP="00C523E1">
            <w:pPr>
              <w:ind w:firstLine="0"/>
              <w:jc w:val="both"/>
              <w:rPr>
                <w:sz w:val="20"/>
                <w:szCs w:val="20"/>
                <w:lang w:val="en"/>
              </w:rPr>
            </w:pPr>
            <w:r w:rsidRPr="00C523E1">
              <w:rPr>
                <w:sz w:val="20"/>
                <w:szCs w:val="20"/>
                <w:lang w:val="en"/>
              </w:rPr>
              <w:t>5%</w:t>
            </w:r>
          </w:p>
        </w:tc>
        <w:tc>
          <w:tcPr>
            <w:tcW w:w="2551" w:type="dxa"/>
            <w:tcBorders>
              <w:left w:val="nil"/>
              <w:right w:val="nil"/>
            </w:tcBorders>
          </w:tcPr>
          <w:p w14:paraId="0D1BDD6E" w14:textId="77777777" w:rsidR="00C523E1" w:rsidRPr="00C523E1" w:rsidRDefault="00C523E1" w:rsidP="00C523E1">
            <w:pPr>
              <w:ind w:firstLine="0"/>
              <w:jc w:val="both"/>
              <w:rPr>
                <w:sz w:val="20"/>
                <w:szCs w:val="20"/>
                <w:lang w:val="en"/>
              </w:rPr>
            </w:pPr>
          </w:p>
        </w:tc>
        <w:tc>
          <w:tcPr>
            <w:tcW w:w="1560" w:type="dxa"/>
            <w:tcBorders>
              <w:left w:val="nil"/>
              <w:right w:val="nil"/>
            </w:tcBorders>
          </w:tcPr>
          <w:p w14:paraId="010A8B8C" w14:textId="77777777" w:rsidR="00C523E1" w:rsidRPr="00C523E1" w:rsidRDefault="00C523E1" w:rsidP="00C523E1">
            <w:pPr>
              <w:ind w:firstLine="0"/>
              <w:jc w:val="both"/>
              <w:rPr>
                <w:sz w:val="20"/>
                <w:szCs w:val="20"/>
                <w:lang w:val="en"/>
              </w:rPr>
            </w:pPr>
          </w:p>
        </w:tc>
        <w:tc>
          <w:tcPr>
            <w:tcW w:w="1412" w:type="dxa"/>
            <w:tcBorders>
              <w:left w:val="nil"/>
              <w:right w:val="nil"/>
            </w:tcBorders>
          </w:tcPr>
          <w:p w14:paraId="0C983162" w14:textId="77777777" w:rsidR="00C523E1" w:rsidRPr="00C523E1" w:rsidRDefault="00C523E1" w:rsidP="00C523E1">
            <w:pPr>
              <w:ind w:firstLine="0"/>
              <w:jc w:val="both"/>
              <w:rPr>
                <w:sz w:val="20"/>
                <w:szCs w:val="20"/>
                <w:lang w:val="en"/>
              </w:rPr>
            </w:pPr>
          </w:p>
        </w:tc>
      </w:tr>
    </w:tbl>
    <w:p w14:paraId="1245756B" w14:textId="1A11294E" w:rsidR="00C523E1" w:rsidRPr="00C523E1" w:rsidRDefault="00C523E1" w:rsidP="000F5153">
      <w:pPr>
        <w:ind w:firstLine="426"/>
        <w:jc w:val="both"/>
        <w:rPr>
          <w:szCs w:val="24"/>
          <w:lang w:val="en"/>
        </w:rPr>
      </w:pPr>
      <w:r w:rsidRPr="00C523E1">
        <w:rPr>
          <w:szCs w:val="24"/>
          <w:lang w:val="en"/>
        </w:rPr>
        <w:t xml:space="preserve">Based on table 3 can seen that experience work, motivation and commitment influential positive significant on performance. this showed with mark significance from third variable &lt; 0.05. The adjusted R2 value is 0.507 which means that 50.7% is variable performance can </w:t>
      </w:r>
      <w:r w:rsidRPr="00C523E1">
        <w:rPr>
          <w:szCs w:val="24"/>
          <w:lang w:val="en"/>
        </w:rPr>
        <w:lastRenderedPageBreak/>
        <w:t>explained by variables experience Work motivation, and commitment the rest 49.3 % is explained by other variables that are not included in study this.</w:t>
      </w:r>
    </w:p>
    <w:p w14:paraId="0DB647FD" w14:textId="77777777" w:rsidR="00C523E1" w:rsidRPr="00C523E1" w:rsidRDefault="00C523E1" w:rsidP="00C523E1">
      <w:pPr>
        <w:ind w:firstLine="0"/>
        <w:jc w:val="center"/>
        <w:rPr>
          <w:rFonts w:asciiTheme="majorHAnsi" w:hAnsiTheme="majorHAnsi"/>
          <w:iCs/>
          <w:sz w:val="22"/>
          <w:lang w:val="en"/>
        </w:rPr>
      </w:pPr>
    </w:p>
    <w:p w14:paraId="52AB293A" w14:textId="6436D34D" w:rsidR="00C523E1" w:rsidRPr="00C523E1" w:rsidRDefault="00C523E1" w:rsidP="00C523E1">
      <w:pPr>
        <w:ind w:firstLine="0"/>
        <w:jc w:val="center"/>
        <w:rPr>
          <w:iCs/>
          <w:sz w:val="20"/>
          <w:szCs w:val="20"/>
        </w:rPr>
      </w:pPr>
      <w:r w:rsidRPr="00C523E1">
        <w:rPr>
          <w:iCs/>
          <w:sz w:val="20"/>
          <w:szCs w:val="20"/>
          <w:lang w:val="en"/>
        </w:rPr>
        <w:t xml:space="preserve">Table </w:t>
      </w:r>
      <w:r w:rsidRPr="00C523E1">
        <w:rPr>
          <w:iCs/>
          <w:sz w:val="20"/>
          <w:szCs w:val="20"/>
        </w:rPr>
        <w:t>4.</w:t>
      </w:r>
      <w:r w:rsidRPr="00C523E1">
        <w:rPr>
          <w:iCs/>
          <w:sz w:val="20"/>
          <w:szCs w:val="20"/>
          <w:lang w:val="en"/>
        </w:rPr>
        <w:t xml:space="preserve"> </w:t>
      </w:r>
      <w:r w:rsidRPr="00C523E1">
        <w:rPr>
          <w:iCs/>
          <w:sz w:val="20"/>
          <w:szCs w:val="20"/>
        </w:rPr>
        <w:t>Identification of Equation Models Structural</w:t>
      </w:r>
    </w:p>
    <w:tbl>
      <w:tblPr>
        <w:tblW w:w="454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60" w:firstRow="1" w:lastRow="1" w:firstColumn="0" w:lastColumn="1" w:noHBand="0" w:noVBand="0"/>
      </w:tblPr>
      <w:tblGrid>
        <w:gridCol w:w="711"/>
        <w:gridCol w:w="4004"/>
        <w:gridCol w:w="1859"/>
        <w:gridCol w:w="1859"/>
      </w:tblGrid>
      <w:tr w:rsidR="00C523E1" w:rsidRPr="00C523E1" w14:paraId="4703A340" w14:textId="77777777" w:rsidTr="00045F6D">
        <w:trPr>
          <w:trHeight w:val="319"/>
          <w:jc w:val="center"/>
        </w:trPr>
        <w:tc>
          <w:tcPr>
            <w:tcW w:w="422" w:type="pct"/>
            <w:vAlign w:val="center"/>
          </w:tcPr>
          <w:p w14:paraId="0B597323" w14:textId="77777777" w:rsidR="00C523E1" w:rsidRPr="00C523E1" w:rsidRDefault="00C523E1" w:rsidP="00C523E1">
            <w:pPr>
              <w:ind w:firstLine="0"/>
              <w:jc w:val="center"/>
              <w:rPr>
                <w:rFonts w:eastAsia="SimSun"/>
                <w:b/>
                <w:iCs/>
                <w:sz w:val="20"/>
                <w:szCs w:val="20"/>
                <w:lang w:val="en"/>
              </w:rPr>
            </w:pPr>
            <w:r w:rsidRPr="00C523E1">
              <w:rPr>
                <w:rFonts w:eastAsia="SimSun"/>
                <w:b/>
                <w:iCs/>
                <w:sz w:val="20"/>
                <w:szCs w:val="20"/>
                <w:lang w:val="en"/>
              </w:rPr>
              <w:t>No.</w:t>
            </w:r>
          </w:p>
        </w:tc>
        <w:tc>
          <w:tcPr>
            <w:tcW w:w="2374" w:type="pct"/>
            <w:vAlign w:val="center"/>
          </w:tcPr>
          <w:p w14:paraId="01A2A9C2" w14:textId="77777777" w:rsidR="00C523E1" w:rsidRPr="00C523E1" w:rsidRDefault="00C523E1" w:rsidP="00C523E1">
            <w:pPr>
              <w:ind w:firstLine="0"/>
              <w:jc w:val="center"/>
              <w:rPr>
                <w:rFonts w:eastAsia="SimSun"/>
                <w:b/>
                <w:iCs/>
                <w:sz w:val="20"/>
                <w:szCs w:val="20"/>
                <w:lang w:val="en"/>
              </w:rPr>
            </w:pPr>
            <w:r w:rsidRPr="00C523E1">
              <w:rPr>
                <w:rFonts w:eastAsia="SimSun"/>
                <w:b/>
                <w:iCs/>
                <w:sz w:val="20"/>
                <w:szCs w:val="20"/>
                <w:lang w:val="en"/>
              </w:rPr>
              <w:t>Between Variables</w:t>
            </w:r>
          </w:p>
        </w:tc>
        <w:tc>
          <w:tcPr>
            <w:tcW w:w="1102" w:type="pct"/>
            <w:vAlign w:val="center"/>
          </w:tcPr>
          <w:p w14:paraId="5857391D" w14:textId="77777777" w:rsidR="00C523E1" w:rsidRPr="00C523E1" w:rsidRDefault="00C523E1" w:rsidP="00C523E1">
            <w:pPr>
              <w:ind w:firstLine="0"/>
              <w:jc w:val="center"/>
              <w:rPr>
                <w:rFonts w:eastAsia="SimSun"/>
                <w:b/>
                <w:iCs/>
                <w:sz w:val="20"/>
                <w:szCs w:val="20"/>
                <w:lang w:val="en"/>
              </w:rPr>
            </w:pPr>
            <w:r w:rsidRPr="00C523E1">
              <w:rPr>
                <w:rFonts w:eastAsia="SimSun"/>
                <w:b/>
                <w:iCs/>
                <w:sz w:val="20"/>
                <w:szCs w:val="20"/>
                <w:lang w:val="en"/>
              </w:rPr>
              <w:t>Influence Direct</w:t>
            </w:r>
          </w:p>
        </w:tc>
        <w:tc>
          <w:tcPr>
            <w:tcW w:w="1102" w:type="pct"/>
            <w:vAlign w:val="center"/>
          </w:tcPr>
          <w:p w14:paraId="2536EBDF" w14:textId="77777777" w:rsidR="00C523E1" w:rsidRPr="00C523E1" w:rsidRDefault="00C523E1" w:rsidP="00C523E1">
            <w:pPr>
              <w:ind w:firstLine="0"/>
              <w:jc w:val="center"/>
              <w:rPr>
                <w:rFonts w:eastAsia="SimSun"/>
                <w:b/>
                <w:iCs/>
                <w:sz w:val="20"/>
                <w:szCs w:val="20"/>
                <w:lang w:val="en"/>
              </w:rPr>
            </w:pPr>
            <w:r w:rsidRPr="00C523E1">
              <w:rPr>
                <w:rFonts w:eastAsia="SimSun"/>
                <w:b/>
                <w:iCs/>
                <w:sz w:val="20"/>
                <w:szCs w:val="20"/>
                <w:lang w:val="en"/>
              </w:rPr>
              <w:t>Indirect Influence</w:t>
            </w:r>
          </w:p>
        </w:tc>
      </w:tr>
      <w:tr w:rsidR="00C523E1" w:rsidRPr="00C523E1" w14:paraId="13377781" w14:textId="77777777" w:rsidTr="00045F6D">
        <w:trPr>
          <w:trHeight w:val="319"/>
          <w:jc w:val="center"/>
        </w:trPr>
        <w:tc>
          <w:tcPr>
            <w:tcW w:w="422" w:type="pct"/>
            <w:vAlign w:val="center"/>
          </w:tcPr>
          <w:p w14:paraId="719AB4E6"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1</w:t>
            </w:r>
          </w:p>
        </w:tc>
        <w:tc>
          <w:tcPr>
            <w:tcW w:w="2374" w:type="pct"/>
            <w:vAlign w:val="center"/>
          </w:tcPr>
          <w:p w14:paraId="571AD5E9" w14:textId="77777777" w:rsidR="00C523E1" w:rsidRPr="00C523E1" w:rsidRDefault="00C523E1" w:rsidP="00C523E1">
            <w:pPr>
              <w:widowControl w:val="0"/>
              <w:autoSpaceDE w:val="0"/>
              <w:autoSpaceDN w:val="0"/>
              <w:adjustRightInd w:val="0"/>
              <w:ind w:firstLine="0"/>
              <w:jc w:val="center"/>
              <w:rPr>
                <w:rFonts w:ascii="Times New Roman" w:hAnsi="Times New Roman" w:cs="Angsana New"/>
                <w:color w:val="000000"/>
                <w:sz w:val="20"/>
                <w:szCs w:val="20"/>
                <w:lang w:val="en"/>
              </w:rPr>
            </w:pPr>
            <w:r w:rsidRPr="00C523E1">
              <w:rPr>
                <w:rFonts w:cs="Angsana New"/>
                <w:color w:val="000000"/>
                <w:sz w:val="20"/>
                <w:szCs w:val="20"/>
                <w:lang w:val="en"/>
              </w:rPr>
              <w:t xml:space="preserve">Experience Work </w:t>
            </w:r>
            <w:r w:rsidRPr="00C523E1">
              <w:rPr>
                <w:rFonts w:ascii="Wingdings" w:hAnsi="Wingdings" w:cs="Wingdings"/>
                <w:color w:val="000000"/>
                <w:sz w:val="20"/>
                <w:szCs w:val="20"/>
                <w:lang w:val="en"/>
              </w:rPr>
              <w:t xml:space="preserve"> </w:t>
            </w:r>
            <w:r w:rsidRPr="00C523E1">
              <w:rPr>
                <w:rFonts w:cs="Angsana New"/>
                <w:color w:val="000000"/>
                <w:sz w:val="20"/>
                <w:szCs w:val="20"/>
                <w:lang w:val="en"/>
              </w:rPr>
              <w:t>performance</w:t>
            </w:r>
            <w:r w:rsidRPr="00C523E1">
              <w:rPr>
                <w:rFonts w:asciiTheme="majorHAnsi" w:hAnsiTheme="majorHAnsi" w:cs="Angsana New"/>
                <w:color w:val="000000"/>
                <w:sz w:val="20"/>
                <w:szCs w:val="20"/>
                <w:lang w:val="en"/>
              </w:rPr>
              <w:t xml:space="preserve"> </w:t>
            </w:r>
          </w:p>
          <w:p w14:paraId="3B8D3D50" w14:textId="77777777" w:rsidR="00C523E1" w:rsidRPr="00C523E1" w:rsidRDefault="00C523E1" w:rsidP="00C523E1">
            <w:pPr>
              <w:ind w:firstLine="0"/>
              <w:jc w:val="center"/>
              <w:rPr>
                <w:rFonts w:asciiTheme="majorHAnsi" w:eastAsia="SimSun" w:hAnsiTheme="majorHAnsi"/>
                <w:sz w:val="20"/>
                <w:szCs w:val="20"/>
                <w:lang w:val="en"/>
              </w:rPr>
            </w:pPr>
          </w:p>
        </w:tc>
        <w:tc>
          <w:tcPr>
            <w:tcW w:w="1102" w:type="pct"/>
            <w:vAlign w:val="center"/>
          </w:tcPr>
          <w:p w14:paraId="3475EE98"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0.426</w:t>
            </w:r>
          </w:p>
        </w:tc>
        <w:tc>
          <w:tcPr>
            <w:tcW w:w="1102" w:type="pct"/>
            <w:vAlign w:val="center"/>
          </w:tcPr>
          <w:p w14:paraId="2B4F1077"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w:t>
            </w:r>
          </w:p>
        </w:tc>
      </w:tr>
      <w:tr w:rsidR="00C523E1" w:rsidRPr="00C523E1" w14:paraId="70A74167" w14:textId="77777777" w:rsidTr="00045F6D">
        <w:trPr>
          <w:trHeight w:val="351"/>
          <w:jc w:val="center"/>
        </w:trPr>
        <w:tc>
          <w:tcPr>
            <w:tcW w:w="422" w:type="pct"/>
            <w:vAlign w:val="center"/>
          </w:tcPr>
          <w:p w14:paraId="51F05446"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2</w:t>
            </w:r>
          </w:p>
        </w:tc>
        <w:tc>
          <w:tcPr>
            <w:tcW w:w="2374" w:type="pct"/>
            <w:vAlign w:val="center"/>
          </w:tcPr>
          <w:p w14:paraId="0BDDD50E" w14:textId="77777777" w:rsidR="00C523E1" w:rsidRPr="00C523E1" w:rsidRDefault="00C523E1" w:rsidP="00C523E1">
            <w:pPr>
              <w:widowControl w:val="0"/>
              <w:autoSpaceDE w:val="0"/>
              <w:autoSpaceDN w:val="0"/>
              <w:adjustRightInd w:val="0"/>
              <w:ind w:firstLine="0"/>
              <w:jc w:val="center"/>
              <w:rPr>
                <w:rFonts w:ascii="Times New Roman" w:hAnsi="Times New Roman" w:cs="Angsana New"/>
                <w:color w:val="000000"/>
                <w:sz w:val="20"/>
                <w:szCs w:val="20"/>
                <w:lang w:val="en"/>
              </w:rPr>
            </w:pPr>
            <w:r w:rsidRPr="00C523E1">
              <w:rPr>
                <w:rFonts w:cstheme="minorHAnsi"/>
                <w:color w:val="000000"/>
                <w:sz w:val="20"/>
                <w:szCs w:val="20"/>
                <w:lang w:val="en"/>
              </w:rPr>
              <w:t>Motivation</w:t>
            </w:r>
            <w:r w:rsidRPr="00C523E1">
              <w:rPr>
                <w:rFonts w:ascii="Times New Roman" w:hAnsi="Times New Roman" w:cs="Angsana New"/>
                <w:color w:val="000000"/>
                <w:sz w:val="20"/>
                <w:szCs w:val="20"/>
                <w:lang w:val="en"/>
              </w:rPr>
              <w:t xml:space="preserve"> </w:t>
            </w:r>
            <w:r w:rsidRPr="00C523E1">
              <w:rPr>
                <w:rFonts w:ascii="Wingdings" w:hAnsi="Wingdings" w:cs="Wingdings"/>
                <w:color w:val="000000"/>
                <w:sz w:val="20"/>
                <w:szCs w:val="20"/>
                <w:lang w:val="en"/>
              </w:rPr>
              <w:t xml:space="preserve"> </w:t>
            </w:r>
            <w:r w:rsidRPr="00C523E1">
              <w:rPr>
                <w:rFonts w:cstheme="minorHAnsi"/>
                <w:color w:val="000000"/>
                <w:sz w:val="20"/>
                <w:szCs w:val="20"/>
                <w:lang w:val="en"/>
              </w:rPr>
              <w:t>performance</w:t>
            </w:r>
            <w:r w:rsidRPr="00C523E1">
              <w:rPr>
                <w:rFonts w:cs="Angsana New"/>
                <w:color w:val="000000"/>
                <w:sz w:val="20"/>
                <w:szCs w:val="20"/>
                <w:lang w:val="en"/>
              </w:rPr>
              <w:t xml:space="preserve"> </w:t>
            </w:r>
          </w:p>
          <w:p w14:paraId="58432279" w14:textId="77777777" w:rsidR="00C523E1" w:rsidRPr="00C523E1" w:rsidRDefault="00C523E1" w:rsidP="00C523E1">
            <w:pPr>
              <w:ind w:firstLine="0"/>
              <w:jc w:val="center"/>
              <w:rPr>
                <w:rFonts w:asciiTheme="majorHAnsi" w:eastAsia="SimSun" w:hAnsiTheme="majorHAnsi"/>
                <w:sz w:val="20"/>
                <w:szCs w:val="20"/>
                <w:lang w:val="en"/>
              </w:rPr>
            </w:pPr>
          </w:p>
        </w:tc>
        <w:tc>
          <w:tcPr>
            <w:tcW w:w="1102" w:type="pct"/>
            <w:vAlign w:val="center"/>
          </w:tcPr>
          <w:p w14:paraId="228E5220"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0.222</w:t>
            </w:r>
          </w:p>
        </w:tc>
        <w:tc>
          <w:tcPr>
            <w:tcW w:w="1102" w:type="pct"/>
            <w:vAlign w:val="center"/>
          </w:tcPr>
          <w:p w14:paraId="48F16B1E"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w:t>
            </w:r>
          </w:p>
        </w:tc>
      </w:tr>
      <w:tr w:rsidR="00C523E1" w:rsidRPr="00C523E1" w14:paraId="26B7B500" w14:textId="77777777" w:rsidTr="00045F6D">
        <w:trPr>
          <w:trHeight w:val="351"/>
          <w:jc w:val="center"/>
        </w:trPr>
        <w:tc>
          <w:tcPr>
            <w:tcW w:w="422" w:type="pct"/>
            <w:vAlign w:val="center"/>
          </w:tcPr>
          <w:p w14:paraId="5B84EEA6"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3</w:t>
            </w:r>
          </w:p>
        </w:tc>
        <w:tc>
          <w:tcPr>
            <w:tcW w:w="2374" w:type="pct"/>
            <w:vAlign w:val="center"/>
          </w:tcPr>
          <w:p w14:paraId="15C4353E" w14:textId="6A8A9395" w:rsidR="00C523E1" w:rsidRPr="00C523E1" w:rsidRDefault="00C523E1" w:rsidP="00C523E1">
            <w:pPr>
              <w:widowControl w:val="0"/>
              <w:autoSpaceDE w:val="0"/>
              <w:autoSpaceDN w:val="0"/>
              <w:adjustRightInd w:val="0"/>
              <w:ind w:firstLine="0"/>
              <w:jc w:val="center"/>
              <w:rPr>
                <w:rFonts w:ascii="Times New Roman" w:hAnsi="Times New Roman" w:cs="Angsana New"/>
                <w:color w:val="000000"/>
                <w:sz w:val="20"/>
                <w:szCs w:val="20"/>
                <w:lang w:val="en"/>
              </w:rPr>
            </w:pPr>
            <w:r w:rsidRPr="00C523E1">
              <w:rPr>
                <w:rFonts w:cstheme="minorHAnsi"/>
                <w:color w:val="000000"/>
                <w:sz w:val="20"/>
                <w:szCs w:val="20"/>
                <w:lang w:val="en"/>
              </w:rPr>
              <w:t>Experience Work</w:t>
            </w:r>
            <w:r w:rsidRPr="00C523E1">
              <w:rPr>
                <w:rFonts w:cs="Angsana New"/>
                <w:color w:val="000000"/>
                <w:sz w:val="20"/>
                <w:szCs w:val="20"/>
                <w:lang w:val="en"/>
              </w:rPr>
              <w:t xml:space="preserve"> </w:t>
            </w:r>
            <w:r w:rsidRPr="00C523E1">
              <w:rPr>
                <w:rFonts w:ascii="Wingdings" w:hAnsi="Wingdings" w:cs="Wingdings"/>
                <w:color w:val="000000"/>
                <w:sz w:val="20"/>
                <w:szCs w:val="20"/>
                <w:lang w:val="en"/>
              </w:rPr>
              <w:t xml:space="preserve"> </w:t>
            </w:r>
            <w:r w:rsidRPr="00C523E1">
              <w:rPr>
                <w:rFonts w:cstheme="minorHAnsi"/>
                <w:color w:val="000000"/>
                <w:sz w:val="20"/>
                <w:szCs w:val="20"/>
                <w:lang w:val="en"/>
              </w:rPr>
              <w:t>commitment</w:t>
            </w:r>
            <w:r w:rsidRPr="00C523E1">
              <w:rPr>
                <w:rFonts w:ascii="Times New Roman" w:hAnsi="Times New Roman" w:cs="Angsana New"/>
                <w:color w:val="000000"/>
                <w:sz w:val="20"/>
                <w:szCs w:val="20"/>
                <w:lang w:val="en"/>
              </w:rPr>
              <w:t xml:space="preserve"> </w:t>
            </w:r>
            <w:r w:rsidRPr="00C523E1">
              <w:rPr>
                <w:rFonts w:ascii="Wingdings" w:hAnsi="Wingdings" w:cs="Wingdings"/>
                <w:color w:val="000000"/>
                <w:sz w:val="20"/>
                <w:szCs w:val="20"/>
                <w:lang w:val="en"/>
              </w:rPr>
              <w:t xml:space="preserve"> </w:t>
            </w:r>
            <w:r w:rsidRPr="00C523E1">
              <w:rPr>
                <w:rFonts w:cstheme="minorHAnsi"/>
                <w:color w:val="000000"/>
                <w:sz w:val="20"/>
                <w:szCs w:val="20"/>
                <w:lang w:val="en"/>
              </w:rPr>
              <w:t>performance</w:t>
            </w:r>
            <w:r w:rsidRPr="00C523E1">
              <w:rPr>
                <w:rFonts w:cs="Angsana New"/>
                <w:color w:val="000000"/>
                <w:sz w:val="20"/>
                <w:szCs w:val="20"/>
                <w:lang w:val="en"/>
              </w:rPr>
              <w:t xml:space="preserve"> </w:t>
            </w:r>
          </w:p>
          <w:p w14:paraId="233B4452" w14:textId="77777777" w:rsidR="00C523E1" w:rsidRPr="00C523E1" w:rsidRDefault="00C523E1" w:rsidP="00C523E1">
            <w:pPr>
              <w:ind w:firstLine="0"/>
              <w:jc w:val="center"/>
              <w:rPr>
                <w:rFonts w:asciiTheme="majorHAnsi" w:eastAsia="SimSun" w:hAnsiTheme="majorHAnsi"/>
                <w:sz w:val="20"/>
                <w:szCs w:val="20"/>
                <w:lang w:val="en"/>
              </w:rPr>
            </w:pPr>
          </w:p>
        </w:tc>
        <w:tc>
          <w:tcPr>
            <w:tcW w:w="1102" w:type="pct"/>
            <w:vAlign w:val="center"/>
          </w:tcPr>
          <w:p w14:paraId="33B8CB7E"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w:t>
            </w:r>
          </w:p>
        </w:tc>
        <w:tc>
          <w:tcPr>
            <w:tcW w:w="1102" w:type="pct"/>
            <w:vAlign w:val="center"/>
          </w:tcPr>
          <w:p w14:paraId="5363621C"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0.111</w:t>
            </w:r>
          </w:p>
        </w:tc>
      </w:tr>
      <w:tr w:rsidR="00C523E1" w:rsidRPr="00C523E1" w14:paraId="79B61DA1" w14:textId="77777777" w:rsidTr="00045F6D">
        <w:trPr>
          <w:trHeight w:val="351"/>
          <w:jc w:val="center"/>
        </w:trPr>
        <w:tc>
          <w:tcPr>
            <w:tcW w:w="422" w:type="pct"/>
            <w:vAlign w:val="center"/>
          </w:tcPr>
          <w:p w14:paraId="70A778E5"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4</w:t>
            </w:r>
          </w:p>
        </w:tc>
        <w:tc>
          <w:tcPr>
            <w:tcW w:w="2374" w:type="pct"/>
            <w:vAlign w:val="center"/>
          </w:tcPr>
          <w:p w14:paraId="63D5D65C" w14:textId="77777777" w:rsidR="00C523E1" w:rsidRPr="00C523E1" w:rsidRDefault="00C523E1" w:rsidP="00C523E1">
            <w:pPr>
              <w:widowControl w:val="0"/>
              <w:autoSpaceDE w:val="0"/>
              <w:autoSpaceDN w:val="0"/>
              <w:adjustRightInd w:val="0"/>
              <w:ind w:firstLine="0"/>
              <w:jc w:val="center"/>
              <w:rPr>
                <w:rFonts w:ascii="Times New Roman" w:hAnsi="Times New Roman" w:cs="Angsana New"/>
                <w:color w:val="000000"/>
                <w:sz w:val="20"/>
                <w:szCs w:val="20"/>
                <w:lang w:val="en"/>
              </w:rPr>
            </w:pPr>
            <w:r w:rsidRPr="00C523E1">
              <w:rPr>
                <w:rFonts w:cs="Angsana New"/>
                <w:color w:val="000000"/>
                <w:sz w:val="20"/>
                <w:szCs w:val="20"/>
                <w:lang w:val="en"/>
              </w:rPr>
              <w:t>Motivation</w:t>
            </w:r>
            <w:r w:rsidRPr="00C523E1">
              <w:rPr>
                <w:rFonts w:asciiTheme="majorHAnsi" w:hAnsiTheme="majorHAnsi" w:cs="Angsana New"/>
                <w:color w:val="000000"/>
                <w:sz w:val="20"/>
                <w:szCs w:val="20"/>
                <w:lang w:val="en"/>
              </w:rPr>
              <w:t xml:space="preserve"> </w:t>
            </w:r>
            <w:r w:rsidRPr="00C523E1">
              <w:rPr>
                <w:rFonts w:ascii="Wingdings" w:hAnsi="Wingdings" w:cs="Wingdings"/>
                <w:color w:val="000000"/>
                <w:sz w:val="20"/>
                <w:szCs w:val="20"/>
                <w:lang w:val="en"/>
              </w:rPr>
              <w:t xml:space="preserve"> </w:t>
            </w:r>
            <w:r w:rsidRPr="00C523E1">
              <w:rPr>
                <w:rFonts w:cs="Angsana New"/>
                <w:color w:val="000000"/>
                <w:sz w:val="20"/>
                <w:szCs w:val="20"/>
                <w:lang w:val="en"/>
              </w:rPr>
              <w:t xml:space="preserve">commitment </w:t>
            </w:r>
            <w:r w:rsidRPr="00C523E1">
              <w:rPr>
                <w:rFonts w:ascii="Wingdings" w:hAnsi="Wingdings" w:cs="Wingdings"/>
                <w:color w:val="000000"/>
                <w:sz w:val="20"/>
                <w:szCs w:val="20"/>
                <w:lang w:val="en"/>
              </w:rPr>
              <w:t xml:space="preserve"> </w:t>
            </w:r>
            <w:r w:rsidRPr="00C523E1">
              <w:rPr>
                <w:rFonts w:cs="Angsana New"/>
                <w:color w:val="000000"/>
                <w:sz w:val="20"/>
                <w:szCs w:val="20"/>
                <w:lang w:val="en"/>
              </w:rPr>
              <w:t>performance</w:t>
            </w:r>
            <w:r w:rsidRPr="00C523E1">
              <w:rPr>
                <w:rFonts w:asciiTheme="majorHAnsi" w:hAnsiTheme="majorHAnsi" w:cs="Angsana New"/>
                <w:color w:val="000000"/>
                <w:sz w:val="20"/>
                <w:szCs w:val="20"/>
                <w:lang w:val="en"/>
              </w:rPr>
              <w:t xml:space="preserve"> </w:t>
            </w:r>
          </w:p>
          <w:p w14:paraId="1D8D7A4A" w14:textId="77777777" w:rsidR="00C523E1" w:rsidRPr="00C523E1" w:rsidRDefault="00C523E1" w:rsidP="00C523E1">
            <w:pPr>
              <w:ind w:firstLine="0"/>
              <w:jc w:val="center"/>
              <w:rPr>
                <w:rFonts w:asciiTheme="majorHAnsi" w:eastAsia="SimSun" w:hAnsiTheme="majorHAnsi"/>
                <w:sz w:val="20"/>
                <w:szCs w:val="20"/>
                <w:lang w:val="en"/>
              </w:rPr>
            </w:pPr>
          </w:p>
        </w:tc>
        <w:tc>
          <w:tcPr>
            <w:tcW w:w="1102" w:type="pct"/>
            <w:vAlign w:val="center"/>
          </w:tcPr>
          <w:p w14:paraId="57992DD1"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w:t>
            </w:r>
          </w:p>
        </w:tc>
        <w:tc>
          <w:tcPr>
            <w:tcW w:w="1102" w:type="pct"/>
            <w:vAlign w:val="center"/>
          </w:tcPr>
          <w:p w14:paraId="2A7F88F6" w14:textId="77777777" w:rsidR="00C523E1" w:rsidRPr="00C523E1" w:rsidRDefault="00C523E1" w:rsidP="00C523E1">
            <w:pPr>
              <w:ind w:firstLine="0"/>
              <w:jc w:val="center"/>
              <w:rPr>
                <w:rFonts w:eastAsia="SimSun"/>
                <w:sz w:val="20"/>
                <w:szCs w:val="20"/>
                <w:lang w:val="en"/>
              </w:rPr>
            </w:pPr>
            <w:r w:rsidRPr="00C523E1">
              <w:rPr>
                <w:rFonts w:eastAsia="SimSun"/>
                <w:sz w:val="20"/>
                <w:szCs w:val="20"/>
                <w:lang w:val="en"/>
              </w:rPr>
              <w:t>0.078</w:t>
            </w:r>
          </w:p>
        </w:tc>
      </w:tr>
    </w:tbl>
    <w:p w14:paraId="20A17EDC" w14:textId="418352FE" w:rsidR="00C523E1" w:rsidRPr="00C523E1" w:rsidRDefault="00C523E1" w:rsidP="000F5153">
      <w:pPr>
        <w:ind w:firstLine="284"/>
        <w:jc w:val="both"/>
        <w:rPr>
          <w:szCs w:val="24"/>
          <w:lang w:val="en"/>
        </w:rPr>
      </w:pPr>
      <w:r w:rsidRPr="00C523E1">
        <w:rPr>
          <w:szCs w:val="24"/>
          <w:lang w:val="en"/>
        </w:rPr>
        <w:t>Analysis multivariate used in study This use which is the Structural equation modeling (SEM) method obtained results influence direct between experience Work to performance of 0.426, on the variable motivation to performance obtained mark influence direct 0.222, on the variable experience Work to commitment and performance obtained influence No direct with value 0.111. While on variables motivation to commitment and performance obtained influence No direct that is of 0.078. Below, this is results analysis track use estimated model in the figure as following.</w:t>
      </w:r>
    </w:p>
    <w:p w14:paraId="1E106ECC" w14:textId="56FFF686" w:rsidR="00210C56" w:rsidRPr="00210C56" w:rsidRDefault="00C523E1" w:rsidP="00C523E1">
      <w:pPr>
        <w:ind w:firstLine="720"/>
        <w:jc w:val="both"/>
        <w:rPr>
          <w:szCs w:val="24"/>
        </w:rPr>
      </w:pPr>
      <w:r w:rsidRPr="00D51E58">
        <w:rPr>
          <w:rFonts w:asciiTheme="majorHAnsi" w:hAnsiTheme="majorHAnsi"/>
          <w:noProof/>
          <w:sz w:val="22"/>
        </w:rPr>
        <w:drawing>
          <wp:inline distT="0" distB="0" distL="0" distR="0" wp14:anchorId="658ECF6A" wp14:editId="32B7FCAF">
            <wp:extent cx="4648785" cy="2250831"/>
            <wp:effectExtent l="0" t="0" r="0" b="0"/>
            <wp:docPr id="1816223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23585" name=""/>
                    <pic:cNvPicPr/>
                  </pic:nvPicPr>
                  <pic:blipFill rotWithShape="1">
                    <a:blip r:embed="rId9"/>
                    <a:srcRect l="11903" t="26501" r="15584" b="11084"/>
                    <a:stretch/>
                  </pic:blipFill>
                  <pic:spPr bwMode="auto">
                    <a:xfrm>
                      <a:off x="0" y="0"/>
                      <a:ext cx="4659729" cy="2256130"/>
                    </a:xfrm>
                    <a:prstGeom prst="rect">
                      <a:avLst/>
                    </a:prstGeom>
                    <a:ln>
                      <a:noFill/>
                    </a:ln>
                    <a:extLst>
                      <a:ext uri="{53640926-AAD7-44D8-BBD7-CCE9431645EC}">
                        <a14:shadowObscured xmlns:a14="http://schemas.microsoft.com/office/drawing/2010/main"/>
                      </a:ext>
                    </a:extLst>
                  </pic:spPr>
                </pic:pic>
              </a:graphicData>
            </a:graphic>
          </wp:inline>
        </w:drawing>
      </w:r>
    </w:p>
    <w:p w14:paraId="354D537F" w14:textId="2E9CBA7C" w:rsidR="00210C56" w:rsidRPr="00C523E1" w:rsidRDefault="00C523E1" w:rsidP="004B3AE8">
      <w:pPr>
        <w:pStyle w:val="BodyText"/>
        <w:ind w:firstLine="0"/>
        <w:jc w:val="center"/>
        <w:rPr>
          <w:b/>
          <w:bCs/>
          <w:sz w:val="20"/>
          <w:lang w:eastAsia="id-ID"/>
        </w:rPr>
      </w:pPr>
      <w:r w:rsidRPr="00C523E1">
        <w:rPr>
          <w:sz w:val="20"/>
        </w:rPr>
        <w:t>Figure 1. Model Estimation</w:t>
      </w:r>
    </w:p>
    <w:p w14:paraId="2936CB30" w14:textId="196D989A" w:rsidR="00C523E1" w:rsidRDefault="00C523E1" w:rsidP="000F5153">
      <w:pPr>
        <w:ind w:firstLine="426"/>
        <w:jc w:val="both"/>
        <w:rPr>
          <w:szCs w:val="24"/>
        </w:rPr>
      </w:pPr>
      <w:r>
        <w:rPr>
          <w:szCs w:val="24"/>
        </w:rPr>
        <w:t>T</w:t>
      </w:r>
      <w:r w:rsidRPr="00C523E1">
        <w:rPr>
          <w:szCs w:val="24"/>
        </w:rPr>
        <w:t xml:space="preserve">hick line in figure 1 results analysis track show influence direct between the variables shown in the thick line. Influence direct is influence from One variable independent going to variable dependent, without via variables dependent others. on variables experience work on performance show results influence direct of 0.426 which means experience Work influential positive and significant to teacher performance. And motivation on performance show the result is 0.222 which is significant motivation influential positive and significant to teacher performance. Whereas influence </w:t>
      </w:r>
      <w:r>
        <w:rPr>
          <w:szCs w:val="24"/>
        </w:rPr>
        <w:t>n</w:t>
      </w:r>
      <w:r w:rsidRPr="00C523E1">
        <w:rPr>
          <w:szCs w:val="24"/>
        </w:rPr>
        <w:t>o direct explained with dotted line. Influence No direct is connection between variable independent influencing variable dependent through mediation another variable called intervening variable. In Figure</w:t>
      </w:r>
      <w:r w:rsidR="000F5153">
        <w:rPr>
          <w:szCs w:val="24"/>
        </w:rPr>
        <w:t xml:space="preserve"> </w:t>
      </w:r>
      <w:r w:rsidRPr="00C523E1">
        <w:rPr>
          <w:szCs w:val="24"/>
        </w:rPr>
        <w:t>1 shows that experience work on performance through commitment get the result is 0.111 which is significant experience Work influential positive and significant to commitment as well as commitment influential positive and significant to performance. Motivation on performance through commitment get the result is 0.078 which is significant motivation influential positive and significant to commitment as well as commitment influential positive and significant to performance.</w:t>
      </w:r>
    </w:p>
    <w:p w14:paraId="64FD35E7" w14:textId="77777777" w:rsidR="000F5153" w:rsidRPr="000F5153" w:rsidRDefault="000F5153" w:rsidP="000F5153">
      <w:pPr>
        <w:ind w:firstLine="426"/>
        <w:jc w:val="both"/>
        <w:rPr>
          <w:szCs w:val="24"/>
          <w:lang w:val="en"/>
        </w:rPr>
      </w:pPr>
      <w:r w:rsidRPr="000F5153">
        <w:rPr>
          <w:szCs w:val="24"/>
          <w:lang w:val="en"/>
        </w:rPr>
        <w:t xml:space="preserve">On research this, researcher using existing Structural Equation Modeling (SEM). in the Lisrel program Where method This test in a manner together the model consists from variable independent and variable dependent . After get away testing validity and reliability with the CFA </w:t>
      </w:r>
      <w:r w:rsidRPr="000F5153">
        <w:rPr>
          <w:szCs w:val="24"/>
          <w:lang w:val="en"/>
        </w:rPr>
        <w:lastRenderedPageBreak/>
        <w:t>model, then stage furthermore is analyze data fit to the model whole or in Lisrel called Goodness of Fit (GOF). Testing This will evaluate what is the resulting model? is a fit model or no. From the resulting printed output estimate 2ndCFA measurements on the Lisrel program, analysis compatibility the whole model can seen from number statistics as the following, namely.</w:t>
      </w:r>
    </w:p>
    <w:p w14:paraId="6DB219B0" w14:textId="2B6AFC2E" w:rsidR="000F5153" w:rsidRPr="000F5153" w:rsidRDefault="000F5153" w:rsidP="00C02F5A">
      <w:pPr>
        <w:numPr>
          <w:ilvl w:val="0"/>
          <w:numId w:val="6"/>
        </w:numPr>
        <w:ind w:left="284" w:hanging="284"/>
        <w:jc w:val="both"/>
        <w:rPr>
          <w:szCs w:val="24"/>
          <w:lang w:val="en"/>
        </w:rPr>
      </w:pPr>
      <w:r w:rsidRPr="000F5153">
        <w:rPr>
          <w:szCs w:val="24"/>
          <w:lang w:val="en"/>
        </w:rPr>
        <w:t>The Chi-square value is 707.55 and p = 0.00 &lt; 0.05. those results show that compatibility not enough Good Because requirements for a good model that is If small Chi Square value and p&gt; 0.05 no fulfilled.</w:t>
      </w:r>
    </w:p>
    <w:p w14:paraId="649067F3" w14:textId="7D63DF66" w:rsidR="000F5153" w:rsidRPr="000F5153" w:rsidRDefault="000F5153" w:rsidP="00C02F5A">
      <w:pPr>
        <w:numPr>
          <w:ilvl w:val="0"/>
          <w:numId w:val="6"/>
        </w:numPr>
        <w:ind w:left="284" w:hanging="284"/>
        <w:jc w:val="both"/>
        <w:rPr>
          <w:szCs w:val="24"/>
          <w:lang w:val="en"/>
        </w:rPr>
      </w:pPr>
      <w:r w:rsidRPr="000F5153">
        <w:rPr>
          <w:szCs w:val="24"/>
          <w:lang w:val="en"/>
        </w:rPr>
        <w:t>The NCP value is 326.74 which is mark Enough big. 90% confidence interval of NCP (255, 12; 406.19) is width, then based on the NCP can concluded that compatibility the whole model is lacking good.</w:t>
      </w:r>
    </w:p>
    <w:p w14:paraId="12F0CE97" w14:textId="6F90E720" w:rsidR="000F5153" w:rsidRPr="000F5153" w:rsidRDefault="000F5153" w:rsidP="00C02F5A">
      <w:pPr>
        <w:numPr>
          <w:ilvl w:val="0"/>
          <w:numId w:val="6"/>
        </w:numPr>
        <w:ind w:left="284" w:hanging="284"/>
        <w:jc w:val="both"/>
        <w:rPr>
          <w:szCs w:val="24"/>
          <w:lang w:val="en"/>
        </w:rPr>
      </w:pPr>
      <w:r w:rsidRPr="000F5153">
        <w:rPr>
          <w:szCs w:val="24"/>
          <w:lang w:val="en"/>
        </w:rPr>
        <w:t>Furthermore, the RMSEA value is 0.073 which is significant model fit is good fit and 90% internal confidence of RMSEA (0.064; 0.081), and the RMSEA value is still is at in range of that interval so RMSEA has good precision. Good RMSEA score is ≤ 0.05 close fit and 0.05 &lt; RMSEA ≤ 0.08 good fit. Whereas If RMSEA values between 0.08 and 0.10 are marginal fit and &gt; 0.10 indicate poor fit. P-Value for test of close fit (RMSEA &lt; 0.05) = 0.00 &lt; 0.50, then compatibility the whole model is lacking OK , the desired p-value for the test of close fit is ≥ 0.50.</w:t>
      </w:r>
    </w:p>
    <w:p w14:paraId="3B322D41" w14:textId="44ED0C1E" w:rsidR="000F5153" w:rsidRPr="000F5153" w:rsidRDefault="000F5153" w:rsidP="00C02F5A">
      <w:pPr>
        <w:numPr>
          <w:ilvl w:val="0"/>
          <w:numId w:val="6"/>
        </w:numPr>
        <w:ind w:left="284" w:hanging="284"/>
        <w:jc w:val="both"/>
        <w:rPr>
          <w:szCs w:val="24"/>
          <w:lang w:val="en"/>
        </w:rPr>
      </w:pPr>
      <w:r w:rsidRPr="000F5153">
        <w:rPr>
          <w:szCs w:val="24"/>
          <w:lang w:val="en"/>
        </w:rPr>
        <w:t>After it , done ECVI analysis as model comparison and increasingly small ECVI value of a model then the more Good level match. Testing model match can seen with use ECVI saturated and ECVI independence values. The ECVI value of the model is known that is of 5.56; ECVI saturated model 6.04; and ECVI independence model 30.73. From the results the can analyzed that ECVI model more near value to the ECVI saturated model compared to the ECVI independence model. Then, 90% internal confidence of ECVI (5,10; 6.08) indicates that the ECVI model is within the 90% confidence interval, so estimate ECVI value has good precision. So got concluded that compatibility the whole model based on ECVI is good. this supported statement that the ECVI saturated model represents 'best-fit' and the ECVI Independence model represents 'worst-fit', then the desired ECVI value the model should be close Possible with the ECVI saturated model.</w:t>
      </w:r>
    </w:p>
    <w:p w14:paraId="0EFEEB83" w14:textId="547FC8BA" w:rsidR="000F5153" w:rsidRPr="000F5153" w:rsidRDefault="000F5153" w:rsidP="00C02F5A">
      <w:pPr>
        <w:numPr>
          <w:ilvl w:val="0"/>
          <w:numId w:val="6"/>
        </w:numPr>
        <w:ind w:left="284" w:hanging="284"/>
        <w:jc w:val="both"/>
        <w:rPr>
          <w:szCs w:val="24"/>
          <w:lang w:val="en"/>
        </w:rPr>
      </w:pPr>
      <w:r w:rsidRPr="000F5153">
        <w:rPr>
          <w:szCs w:val="24"/>
          <w:lang w:val="en"/>
        </w:rPr>
        <w:t>Like ECVI, AIC is also used as model comparison. The resulting model AIC values is 856.74; the AIC value of the saturated model is 930.00; and the AIC independence model value is 4732.65. Can seen that the AIC model is more near to the AIC saturated model compared to the AIC independence model, then compatibility the whole model is said good.</w:t>
      </w:r>
    </w:p>
    <w:p w14:paraId="649DAC59" w14:textId="3EB51615" w:rsidR="000F5153" w:rsidRPr="000F5153" w:rsidRDefault="000F5153" w:rsidP="00C02F5A">
      <w:pPr>
        <w:numPr>
          <w:ilvl w:val="0"/>
          <w:numId w:val="6"/>
        </w:numPr>
        <w:ind w:left="284" w:hanging="284"/>
        <w:jc w:val="both"/>
        <w:rPr>
          <w:szCs w:val="24"/>
          <w:lang w:val="en"/>
        </w:rPr>
      </w:pPr>
      <w:r w:rsidRPr="000F5153">
        <w:rPr>
          <w:szCs w:val="24"/>
          <w:lang w:val="en"/>
        </w:rPr>
        <w:t>Same thing with AIC, CAIC can analyzed with the same way, ie with compare CAIC value model with saturated CAIC and independent CAIC. The CAIC value of the model is 1119.57; saturated CAIC value 2810.19; and the CAIC independence value is 4853.95. those results prove that the CAIC value of the model is more near to Saturated CAIC compared with Independence CAIC, so can said that compatibility the whole model is good.</w:t>
      </w:r>
    </w:p>
    <w:p w14:paraId="0FE9AF2C" w14:textId="63E0A5BC" w:rsidR="000F5153" w:rsidRPr="000F5153" w:rsidRDefault="000F5153" w:rsidP="00C02F5A">
      <w:pPr>
        <w:numPr>
          <w:ilvl w:val="0"/>
          <w:numId w:val="6"/>
        </w:numPr>
        <w:ind w:left="284" w:hanging="284"/>
        <w:jc w:val="both"/>
        <w:rPr>
          <w:szCs w:val="24"/>
          <w:lang w:val="en"/>
        </w:rPr>
      </w:pPr>
      <w:r w:rsidRPr="000F5153">
        <w:rPr>
          <w:szCs w:val="24"/>
          <w:lang w:val="en"/>
        </w:rPr>
        <w:t>The Standardized RMR value = 0.087 &gt; 0.05 shows that compatibility the overall model is lacking well, because should RMR value ≤ 0.05.</w:t>
      </w:r>
    </w:p>
    <w:p w14:paraId="12F1E07C" w14:textId="1135BB26" w:rsidR="000F5153" w:rsidRPr="000F5153" w:rsidRDefault="000F5153" w:rsidP="00C02F5A">
      <w:pPr>
        <w:numPr>
          <w:ilvl w:val="0"/>
          <w:numId w:val="6"/>
        </w:numPr>
        <w:ind w:left="284" w:hanging="284"/>
        <w:jc w:val="both"/>
        <w:rPr>
          <w:szCs w:val="24"/>
          <w:lang w:val="en"/>
        </w:rPr>
      </w:pPr>
      <w:r w:rsidRPr="000F5153">
        <w:rPr>
          <w:szCs w:val="24"/>
          <w:lang w:val="en"/>
        </w:rPr>
        <w:t>Meanwhile, the GFI value is of 0.76 so poor model fit good. And the AGFI value is 0.72 which is significant The same with GFI ie poor model fit good. Good model fit value for parameters AGFI and GFI is ≥ 0.90, and a value of 0.8 &lt; GFI/AGFI ≤ 0.90 is marginal fit.</w:t>
      </w:r>
    </w:p>
    <w:p w14:paraId="643DC30C" w14:textId="1A7BC80A" w:rsidR="000F5153" w:rsidRPr="000F5153" w:rsidRDefault="000F5153" w:rsidP="00C02F5A">
      <w:pPr>
        <w:numPr>
          <w:ilvl w:val="0"/>
          <w:numId w:val="6"/>
        </w:numPr>
        <w:ind w:left="284" w:hanging="284"/>
        <w:jc w:val="both"/>
        <w:rPr>
          <w:szCs w:val="24"/>
          <w:lang w:val="en"/>
        </w:rPr>
      </w:pPr>
      <w:r w:rsidRPr="000F5153">
        <w:rPr>
          <w:szCs w:val="24"/>
          <w:lang w:val="en"/>
        </w:rPr>
        <w:t>Furthermore, NFI = 0.85; NFI values are at intervals of 0.80 ≤ NFI &lt; 0.90, then compatibility the overall model is marginal fit. Criteria model fit for the NFI parameter is ≥ 0.9 means good (good fit) and moderate fit (marginal fit) is indicated by 0.8 ≤ NFI &lt; 0.9.</w:t>
      </w:r>
    </w:p>
    <w:p w14:paraId="30708092" w14:textId="77777777" w:rsidR="000F5153" w:rsidRPr="000F5153" w:rsidRDefault="000F5153" w:rsidP="00C02F5A">
      <w:pPr>
        <w:numPr>
          <w:ilvl w:val="0"/>
          <w:numId w:val="6"/>
        </w:numPr>
        <w:ind w:left="284" w:hanging="284"/>
        <w:jc w:val="both"/>
        <w:rPr>
          <w:szCs w:val="24"/>
          <w:lang w:val="en"/>
        </w:rPr>
      </w:pPr>
      <w:r w:rsidRPr="000F5153">
        <w:rPr>
          <w:szCs w:val="24"/>
          <w:lang w:val="en"/>
        </w:rPr>
        <w:t>Likewise with the NFI parameter, NNFI value = 0.92 ≥ 0.90; so compatibility the whole model is good (good fit).</w:t>
      </w:r>
    </w:p>
    <w:p w14:paraId="67013961" w14:textId="77777777" w:rsidR="000F5153" w:rsidRPr="000F5153" w:rsidRDefault="000F5153" w:rsidP="00C02F5A">
      <w:pPr>
        <w:numPr>
          <w:ilvl w:val="0"/>
          <w:numId w:val="6"/>
        </w:numPr>
        <w:ind w:left="284" w:hanging="284"/>
        <w:jc w:val="both"/>
        <w:rPr>
          <w:szCs w:val="24"/>
          <w:lang w:val="en"/>
        </w:rPr>
      </w:pPr>
      <w:r w:rsidRPr="000F5153">
        <w:rPr>
          <w:szCs w:val="24"/>
          <w:lang w:val="en"/>
        </w:rPr>
        <w:t>CFI = 0.93 ≥ 0.90; so compatibility the whole model is good (good fit).</w:t>
      </w:r>
    </w:p>
    <w:p w14:paraId="35031DFF" w14:textId="77777777" w:rsidR="000F5153" w:rsidRPr="000F5153" w:rsidRDefault="000F5153" w:rsidP="00C02F5A">
      <w:pPr>
        <w:numPr>
          <w:ilvl w:val="0"/>
          <w:numId w:val="6"/>
        </w:numPr>
        <w:ind w:left="284" w:hanging="284"/>
        <w:jc w:val="both"/>
        <w:rPr>
          <w:szCs w:val="24"/>
          <w:lang w:val="en"/>
        </w:rPr>
      </w:pPr>
      <w:r w:rsidRPr="000F5153">
        <w:rPr>
          <w:szCs w:val="24"/>
          <w:lang w:val="en"/>
        </w:rPr>
        <w:t>IFI = 0.93 ≥ 0.90; so compatibility the whole model is good (good fit).</w:t>
      </w:r>
    </w:p>
    <w:p w14:paraId="53A29EB8" w14:textId="51196231" w:rsidR="000F5153" w:rsidRDefault="000F5153" w:rsidP="00C02F5A">
      <w:pPr>
        <w:numPr>
          <w:ilvl w:val="0"/>
          <w:numId w:val="6"/>
        </w:numPr>
        <w:ind w:left="284" w:hanging="284"/>
        <w:jc w:val="both"/>
        <w:rPr>
          <w:szCs w:val="24"/>
          <w:lang w:val="en"/>
        </w:rPr>
      </w:pPr>
      <w:r w:rsidRPr="000F5153">
        <w:rPr>
          <w:szCs w:val="24"/>
          <w:lang w:val="en"/>
        </w:rPr>
        <w:t>RFI = 0.84; the NFI value is in the interval 0.80 ≤ NFI &lt; 0.90, then compatibility the overall model is of marginal fit.</w:t>
      </w:r>
    </w:p>
    <w:p w14:paraId="10A5C54F" w14:textId="4758FCB1" w:rsidR="00C02F5A" w:rsidRDefault="00C02F5A" w:rsidP="00C02F5A">
      <w:pPr>
        <w:ind w:left="284" w:firstLine="0"/>
        <w:jc w:val="center"/>
        <w:rPr>
          <w:szCs w:val="24"/>
          <w:lang w:val="en"/>
        </w:rPr>
      </w:pPr>
      <w:r>
        <w:rPr>
          <w:szCs w:val="24"/>
          <w:lang w:val="en"/>
        </w:rPr>
        <w:lastRenderedPageBreak/>
        <w:t>Table 5. Fit Test Overall Model (Goodness of Fit)</w:t>
      </w:r>
    </w:p>
    <w:tbl>
      <w:tblPr>
        <w:tblW w:w="454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60" w:firstRow="1" w:lastRow="1" w:firstColumn="0" w:lastColumn="1" w:noHBand="0" w:noVBand="0"/>
      </w:tblPr>
      <w:tblGrid>
        <w:gridCol w:w="1856"/>
        <w:gridCol w:w="2859"/>
        <w:gridCol w:w="1859"/>
        <w:gridCol w:w="1859"/>
      </w:tblGrid>
      <w:tr w:rsidR="00C02F5A" w:rsidRPr="00C02F5A" w14:paraId="250207C3" w14:textId="77777777" w:rsidTr="006364C1">
        <w:trPr>
          <w:trHeight w:val="319"/>
          <w:jc w:val="center"/>
        </w:trPr>
        <w:tc>
          <w:tcPr>
            <w:tcW w:w="1100" w:type="pct"/>
            <w:tcBorders>
              <w:left w:val="nil"/>
              <w:right w:val="nil"/>
            </w:tcBorders>
            <w:vAlign w:val="center"/>
          </w:tcPr>
          <w:p w14:paraId="364D7ECD" w14:textId="77777777" w:rsidR="00C02F5A" w:rsidRPr="00C02F5A" w:rsidRDefault="00C02F5A" w:rsidP="00C02F5A">
            <w:pPr>
              <w:pStyle w:val="tablecolsubhead"/>
              <w:rPr>
                <w:rFonts w:ascii="Garamond" w:hAnsi="Garamond"/>
                <w:i w:val="0"/>
                <w:iCs/>
              </w:rPr>
            </w:pPr>
            <w:r w:rsidRPr="00C02F5A">
              <w:rPr>
                <w:rFonts w:ascii="Garamond" w:hAnsi="Garamond"/>
                <w:i w:val="0"/>
                <w:iCs/>
              </w:rPr>
              <w:t>GOF Size</w:t>
            </w:r>
          </w:p>
        </w:tc>
        <w:tc>
          <w:tcPr>
            <w:tcW w:w="1695" w:type="pct"/>
            <w:tcBorders>
              <w:left w:val="nil"/>
              <w:right w:val="nil"/>
            </w:tcBorders>
            <w:vAlign w:val="center"/>
          </w:tcPr>
          <w:p w14:paraId="56064D72" w14:textId="77777777" w:rsidR="00C02F5A" w:rsidRPr="00C02F5A" w:rsidRDefault="00C02F5A" w:rsidP="00C02F5A">
            <w:pPr>
              <w:pStyle w:val="tablecolsubhead"/>
              <w:rPr>
                <w:rFonts w:ascii="Garamond" w:hAnsi="Garamond"/>
                <w:i w:val="0"/>
                <w:iCs/>
              </w:rPr>
            </w:pPr>
            <w:r w:rsidRPr="00C02F5A">
              <w:rPr>
                <w:rFonts w:ascii="Garamond" w:hAnsi="Garamond"/>
                <w:i w:val="0"/>
                <w:iCs/>
              </w:rPr>
              <w:t>Target Match Rate</w:t>
            </w:r>
          </w:p>
        </w:tc>
        <w:tc>
          <w:tcPr>
            <w:tcW w:w="1102" w:type="pct"/>
            <w:tcBorders>
              <w:left w:val="nil"/>
              <w:right w:val="nil"/>
            </w:tcBorders>
            <w:vAlign w:val="center"/>
          </w:tcPr>
          <w:p w14:paraId="4AD5F97C" w14:textId="77777777" w:rsidR="00C02F5A" w:rsidRPr="00C02F5A" w:rsidRDefault="00C02F5A" w:rsidP="00C02F5A">
            <w:pPr>
              <w:pStyle w:val="tablecolsubhead"/>
              <w:rPr>
                <w:rFonts w:ascii="Garamond" w:hAnsi="Garamond"/>
                <w:i w:val="0"/>
                <w:iCs/>
              </w:rPr>
            </w:pPr>
            <w:r w:rsidRPr="00C02F5A">
              <w:rPr>
                <w:rFonts w:ascii="Garamond" w:hAnsi="Garamond"/>
                <w:i w:val="0"/>
                <w:iCs/>
              </w:rPr>
              <w:t>Estimation Results</w:t>
            </w:r>
          </w:p>
        </w:tc>
        <w:tc>
          <w:tcPr>
            <w:tcW w:w="1102" w:type="pct"/>
            <w:tcBorders>
              <w:left w:val="nil"/>
              <w:right w:val="nil"/>
            </w:tcBorders>
            <w:vAlign w:val="center"/>
          </w:tcPr>
          <w:p w14:paraId="0DD0F98B" w14:textId="77777777" w:rsidR="00C02F5A" w:rsidRPr="00C02F5A" w:rsidRDefault="00C02F5A" w:rsidP="00C02F5A">
            <w:pPr>
              <w:pStyle w:val="tablecolsubhead"/>
              <w:rPr>
                <w:rFonts w:ascii="Garamond" w:hAnsi="Garamond"/>
                <w:i w:val="0"/>
                <w:iCs/>
              </w:rPr>
            </w:pPr>
            <w:r w:rsidRPr="00C02F5A">
              <w:rPr>
                <w:rFonts w:ascii="Garamond" w:hAnsi="Garamond"/>
                <w:i w:val="0"/>
                <w:iCs/>
              </w:rPr>
              <w:t>Match Level</w:t>
            </w:r>
          </w:p>
        </w:tc>
      </w:tr>
      <w:tr w:rsidR="00C02F5A" w:rsidRPr="00C02F5A" w14:paraId="167C09D6" w14:textId="77777777" w:rsidTr="006364C1">
        <w:trPr>
          <w:trHeight w:val="319"/>
          <w:jc w:val="center"/>
        </w:trPr>
        <w:tc>
          <w:tcPr>
            <w:tcW w:w="1100" w:type="pct"/>
            <w:tcBorders>
              <w:left w:val="nil"/>
              <w:right w:val="nil"/>
            </w:tcBorders>
            <w:vAlign w:val="center"/>
          </w:tcPr>
          <w:p w14:paraId="59F09B81" w14:textId="77777777" w:rsidR="00C02F5A" w:rsidRPr="00C02F5A" w:rsidRDefault="00C02F5A" w:rsidP="00C02F5A">
            <w:pPr>
              <w:pStyle w:val="tablecopy"/>
              <w:jc w:val="center"/>
              <w:rPr>
                <w:rFonts w:ascii="Garamond" w:hAnsi="Garamond"/>
              </w:rPr>
            </w:pPr>
            <w:r w:rsidRPr="00C02F5A">
              <w:rPr>
                <w:rFonts w:ascii="Garamond" w:hAnsi="Garamond"/>
              </w:rPr>
              <w:t>Chi Square P</w:t>
            </w:r>
          </w:p>
        </w:tc>
        <w:tc>
          <w:tcPr>
            <w:tcW w:w="1695" w:type="pct"/>
            <w:tcBorders>
              <w:left w:val="nil"/>
              <w:right w:val="nil"/>
            </w:tcBorders>
            <w:vAlign w:val="center"/>
          </w:tcPr>
          <w:p w14:paraId="7E8A91A1" w14:textId="77777777" w:rsidR="00C02F5A" w:rsidRPr="00C02F5A" w:rsidRDefault="00C02F5A" w:rsidP="00C02F5A">
            <w:pPr>
              <w:pStyle w:val="tablecopy"/>
              <w:jc w:val="center"/>
              <w:rPr>
                <w:rFonts w:ascii="Garamond" w:hAnsi="Garamond"/>
              </w:rPr>
            </w:pPr>
            <w:r w:rsidRPr="00C02F5A">
              <w:rPr>
                <w:rFonts w:ascii="Garamond" w:hAnsi="Garamond"/>
              </w:rPr>
              <w:t>Small value p &gt; 0.05</w:t>
            </w:r>
          </w:p>
        </w:tc>
        <w:tc>
          <w:tcPr>
            <w:tcW w:w="1102" w:type="pct"/>
            <w:tcBorders>
              <w:left w:val="nil"/>
              <w:right w:val="nil"/>
            </w:tcBorders>
            <w:vAlign w:val="center"/>
          </w:tcPr>
          <w:p w14:paraId="2501D1AA"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χ2 = 707.55</w:t>
            </w:r>
          </w:p>
          <w:p w14:paraId="51D52A1E" w14:textId="77777777" w:rsidR="00C02F5A" w:rsidRPr="00C02F5A" w:rsidRDefault="00C02F5A" w:rsidP="00C02F5A">
            <w:pPr>
              <w:pStyle w:val="tablecopy"/>
              <w:jc w:val="center"/>
              <w:rPr>
                <w:rFonts w:ascii="Garamond" w:hAnsi="Garamond"/>
              </w:rPr>
            </w:pPr>
            <w:r w:rsidRPr="00C02F5A">
              <w:rPr>
                <w:rFonts w:ascii="Garamond" w:hAnsi="Garamond"/>
              </w:rPr>
              <w:t>(p = 0.0)</w:t>
            </w:r>
          </w:p>
        </w:tc>
        <w:tc>
          <w:tcPr>
            <w:tcW w:w="1102" w:type="pct"/>
            <w:tcBorders>
              <w:left w:val="nil"/>
              <w:right w:val="nil"/>
            </w:tcBorders>
            <w:vAlign w:val="center"/>
          </w:tcPr>
          <w:p w14:paraId="79BDA60C"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 xml:space="preserve">Not good </w:t>
            </w:r>
          </w:p>
          <w:p w14:paraId="7B9822CD" w14:textId="77777777" w:rsidR="00C02F5A" w:rsidRPr="00C02F5A" w:rsidRDefault="00C02F5A" w:rsidP="00C02F5A">
            <w:pPr>
              <w:pStyle w:val="tablecopy"/>
              <w:jc w:val="center"/>
              <w:rPr>
                <w:rFonts w:ascii="Garamond" w:hAnsi="Garamond"/>
              </w:rPr>
            </w:pPr>
          </w:p>
        </w:tc>
      </w:tr>
      <w:tr w:rsidR="00C02F5A" w:rsidRPr="00C02F5A" w14:paraId="43373C01" w14:textId="77777777" w:rsidTr="006364C1">
        <w:trPr>
          <w:trHeight w:val="351"/>
          <w:jc w:val="center"/>
        </w:trPr>
        <w:tc>
          <w:tcPr>
            <w:tcW w:w="1100" w:type="pct"/>
            <w:tcBorders>
              <w:left w:val="nil"/>
              <w:right w:val="nil"/>
            </w:tcBorders>
            <w:vAlign w:val="center"/>
          </w:tcPr>
          <w:p w14:paraId="2F9217DB" w14:textId="77777777" w:rsidR="00C02F5A" w:rsidRPr="00C02F5A" w:rsidRDefault="00C02F5A" w:rsidP="00C02F5A">
            <w:pPr>
              <w:pStyle w:val="tablecopy"/>
              <w:jc w:val="center"/>
              <w:rPr>
                <w:rFonts w:ascii="Garamond" w:hAnsi="Garamond"/>
              </w:rPr>
            </w:pPr>
            <w:r w:rsidRPr="00C02F5A">
              <w:rPr>
                <w:rFonts w:ascii="Garamond" w:hAnsi="Garamond"/>
              </w:rPr>
              <w:t>NCP Intervals</w:t>
            </w:r>
          </w:p>
        </w:tc>
        <w:tc>
          <w:tcPr>
            <w:tcW w:w="1695" w:type="pct"/>
            <w:tcBorders>
              <w:left w:val="nil"/>
              <w:right w:val="nil"/>
            </w:tcBorders>
            <w:vAlign w:val="center"/>
          </w:tcPr>
          <w:p w14:paraId="12AA007B"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 xml:space="preserve">Little value </w:t>
            </w:r>
          </w:p>
          <w:p w14:paraId="1EE132F2" w14:textId="77777777" w:rsidR="00C02F5A" w:rsidRPr="00C02F5A" w:rsidRDefault="00C02F5A" w:rsidP="00C02F5A">
            <w:pPr>
              <w:pStyle w:val="tablecopy"/>
              <w:jc w:val="center"/>
              <w:rPr>
                <w:rFonts w:ascii="Garamond" w:hAnsi="Garamond"/>
              </w:rPr>
            </w:pPr>
            <w:r w:rsidRPr="00C02F5A">
              <w:rPr>
                <w:rFonts w:ascii="Garamond" w:hAnsi="Garamond"/>
              </w:rPr>
              <w:t xml:space="preserve">Narrow interval </w:t>
            </w:r>
          </w:p>
        </w:tc>
        <w:tc>
          <w:tcPr>
            <w:tcW w:w="1102" w:type="pct"/>
            <w:tcBorders>
              <w:left w:val="nil"/>
              <w:right w:val="nil"/>
            </w:tcBorders>
            <w:vAlign w:val="center"/>
          </w:tcPr>
          <w:p w14:paraId="406C3399"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326.74</w:t>
            </w:r>
          </w:p>
          <w:p w14:paraId="12044B94" w14:textId="77777777" w:rsidR="00C02F5A" w:rsidRPr="00C02F5A" w:rsidRDefault="00C02F5A" w:rsidP="00C02F5A">
            <w:pPr>
              <w:pStyle w:val="tablecopy"/>
              <w:jc w:val="center"/>
              <w:rPr>
                <w:rFonts w:ascii="Garamond" w:hAnsi="Garamond"/>
              </w:rPr>
            </w:pPr>
            <w:r w:rsidRPr="00C02F5A">
              <w:rPr>
                <w:rFonts w:ascii="Garamond" w:hAnsi="Garamond"/>
              </w:rPr>
              <w:t>(255, 12 ; 406.19)</w:t>
            </w:r>
          </w:p>
        </w:tc>
        <w:tc>
          <w:tcPr>
            <w:tcW w:w="1102" w:type="pct"/>
            <w:tcBorders>
              <w:left w:val="nil"/>
              <w:right w:val="nil"/>
            </w:tcBorders>
            <w:vAlign w:val="center"/>
          </w:tcPr>
          <w:p w14:paraId="49D41BD2"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 xml:space="preserve">Not good </w:t>
            </w:r>
          </w:p>
          <w:p w14:paraId="693C23D3" w14:textId="77777777" w:rsidR="00C02F5A" w:rsidRPr="00C02F5A" w:rsidRDefault="00C02F5A" w:rsidP="00C02F5A">
            <w:pPr>
              <w:pStyle w:val="tablecopy"/>
              <w:jc w:val="center"/>
              <w:rPr>
                <w:rFonts w:ascii="Garamond" w:hAnsi="Garamond"/>
              </w:rPr>
            </w:pPr>
          </w:p>
        </w:tc>
      </w:tr>
      <w:tr w:rsidR="00C02F5A" w:rsidRPr="00C02F5A" w14:paraId="25E596AF" w14:textId="77777777" w:rsidTr="006364C1">
        <w:trPr>
          <w:trHeight w:val="351"/>
          <w:jc w:val="center"/>
        </w:trPr>
        <w:tc>
          <w:tcPr>
            <w:tcW w:w="1100" w:type="pct"/>
            <w:tcBorders>
              <w:left w:val="nil"/>
              <w:right w:val="nil"/>
            </w:tcBorders>
            <w:vAlign w:val="center"/>
          </w:tcPr>
          <w:p w14:paraId="3905D0D9" w14:textId="77777777" w:rsidR="00C02F5A" w:rsidRPr="00C02F5A" w:rsidRDefault="00C02F5A" w:rsidP="00C02F5A">
            <w:pPr>
              <w:pStyle w:val="tablecopy"/>
              <w:jc w:val="center"/>
              <w:rPr>
                <w:rFonts w:ascii="Garamond" w:hAnsi="Garamond"/>
              </w:rPr>
            </w:pPr>
            <w:r w:rsidRPr="00C02F5A">
              <w:rPr>
                <w:rFonts w:ascii="Garamond" w:hAnsi="Garamond"/>
              </w:rPr>
              <w:t>RMSEA P (Close Fit)</w:t>
            </w:r>
          </w:p>
        </w:tc>
        <w:tc>
          <w:tcPr>
            <w:tcW w:w="1695" w:type="pct"/>
            <w:tcBorders>
              <w:left w:val="nil"/>
              <w:right w:val="nil"/>
            </w:tcBorders>
            <w:vAlign w:val="center"/>
          </w:tcPr>
          <w:p w14:paraId="2F29F08C"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RMSEA ≤ 0.08</w:t>
            </w:r>
          </w:p>
          <w:p w14:paraId="76FDEAEC" w14:textId="77777777" w:rsidR="00C02F5A" w:rsidRPr="00C02F5A" w:rsidRDefault="00C02F5A" w:rsidP="00C02F5A">
            <w:pPr>
              <w:pStyle w:val="tablecopy"/>
              <w:jc w:val="center"/>
              <w:rPr>
                <w:rFonts w:ascii="Garamond" w:hAnsi="Garamond"/>
              </w:rPr>
            </w:pPr>
            <w:r w:rsidRPr="00C02F5A">
              <w:rPr>
                <w:rFonts w:ascii="Garamond" w:hAnsi="Garamond"/>
              </w:rPr>
              <w:t>p ≥ 0.50</w:t>
            </w:r>
          </w:p>
        </w:tc>
        <w:tc>
          <w:tcPr>
            <w:tcW w:w="1102" w:type="pct"/>
            <w:tcBorders>
              <w:left w:val="nil"/>
              <w:right w:val="nil"/>
            </w:tcBorders>
            <w:vAlign w:val="center"/>
          </w:tcPr>
          <w:p w14:paraId="062A4531"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0.073</w:t>
            </w:r>
          </w:p>
          <w:p w14:paraId="1EAD1A2E" w14:textId="77777777" w:rsidR="00C02F5A" w:rsidRPr="00C02F5A" w:rsidRDefault="00C02F5A" w:rsidP="00C02F5A">
            <w:pPr>
              <w:pStyle w:val="tablecopy"/>
              <w:jc w:val="center"/>
              <w:rPr>
                <w:rFonts w:ascii="Garamond" w:hAnsi="Garamond"/>
              </w:rPr>
            </w:pPr>
            <w:r w:rsidRPr="00C02F5A">
              <w:rPr>
                <w:rFonts w:ascii="Garamond" w:hAnsi="Garamond"/>
              </w:rPr>
              <w:t>(p = 0.0)</w:t>
            </w:r>
          </w:p>
        </w:tc>
        <w:tc>
          <w:tcPr>
            <w:tcW w:w="1102" w:type="pct"/>
            <w:tcBorders>
              <w:left w:val="nil"/>
              <w:right w:val="nil"/>
            </w:tcBorders>
            <w:vAlign w:val="center"/>
          </w:tcPr>
          <w:p w14:paraId="71D22515"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56B61114" w14:textId="77777777" w:rsidTr="006364C1">
        <w:trPr>
          <w:trHeight w:val="351"/>
          <w:jc w:val="center"/>
        </w:trPr>
        <w:tc>
          <w:tcPr>
            <w:tcW w:w="1100" w:type="pct"/>
            <w:tcBorders>
              <w:left w:val="nil"/>
              <w:right w:val="nil"/>
            </w:tcBorders>
            <w:vAlign w:val="center"/>
          </w:tcPr>
          <w:p w14:paraId="73D27B62" w14:textId="77777777" w:rsidR="00C02F5A" w:rsidRPr="00C02F5A" w:rsidRDefault="00C02F5A" w:rsidP="00C02F5A">
            <w:pPr>
              <w:pStyle w:val="tablecopy"/>
              <w:jc w:val="center"/>
              <w:rPr>
                <w:rFonts w:ascii="Garamond" w:hAnsi="Garamond"/>
              </w:rPr>
            </w:pPr>
            <w:r w:rsidRPr="00C02F5A">
              <w:rPr>
                <w:rFonts w:ascii="Garamond" w:hAnsi="Garamond"/>
              </w:rPr>
              <w:t>ECVI</w:t>
            </w:r>
          </w:p>
        </w:tc>
        <w:tc>
          <w:tcPr>
            <w:tcW w:w="1695" w:type="pct"/>
            <w:tcBorders>
              <w:left w:val="nil"/>
              <w:right w:val="nil"/>
            </w:tcBorders>
            <w:vAlign w:val="center"/>
          </w:tcPr>
          <w:p w14:paraId="6CD44733"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Small and close value with ECVI</w:t>
            </w:r>
          </w:p>
          <w:p w14:paraId="26BC5F3F" w14:textId="77777777" w:rsidR="00C02F5A" w:rsidRPr="00C02F5A" w:rsidRDefault="00C02F5A" w:rsidP="00C02F5A">
            <w:pPr>
              <w:pStyle w:val="tablecopy"/>
              <w:jc w:val="center"/>
              <w:rPr>
                <w:rFonts w:ascii="Garamond" w:hAnsi="Garamond"/>
              </w:rPr>
            </w:pPr>
            <w:r w:rsidRPr="00C02F5A">
              <w:rPr>
                <w:rFonts w:ascii="Garamond" w:hAnsi="Garamond"/>
              </w:rPr>
              <w:t>Saturated</w:t>
            </w:r>
          </w:p>
        </w:tc>
        <w:tc>
          <w:tcPr>
            <w:tcW w:w="1102" w:type="pct"/>
            <w:tcBorders>
              <w:left w:val="nil"/>
              <w:right w:val="nil"/>
            </w:tcBorders>
            <w:vAlign w:val="center"/>
          </w:tcPr>
          <w:p w14:paraId="239EC722"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M* = 5.56</w:t>
            </w:r>
          </w:p>
          <w:p w14:paraId="1D4A35A0"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 = 6.04</w:t>
            </w:r>
          </w:p>
          <w:p w14:paraId="42F7FF89" w14:textId="77777777" w:rsidR="00C02F5A" w:rsidRPr="00C02F5A" w:rsidRDefault="00C02F5A" w:rsidP="00C02F5A">
            <w:pPr>
              <w:pStyle w:val="tablecopy"/>
              <w:jc w:val="center"/>
              <w:rPr>
                <w:rFonts w:ascii="Garamond" w:hAnsi="Garamond"/>
              </w:rPr>
            </w:pPr>
            <w:r w:rsidRPr="00C02F5A">
              <w:rPr>
                <w:rFonts w:ascii="Garamond" w:hAnsi="Garamond"/>
              </w:rPr>
              <w:t>I* = 30.73</w:t>
            </w:r>
          </w:p>
        </w:tc>
        <w:tc>
          <w:tcPr>
            <w:tcW w:w="1102" w:type="pct"/>
            <w:tcBorders>
              <w:left w:val="nil"/>
              <w:right w:val="nil"/>
            </w:tcBorders>
            <w:vAlign w:val="center"/>
          </w:tcPr>
          <w:p w14:paraId="3F12FE64"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6521BD2B" w14:textId="77777777" w:rsidTr="006364C1">
        <w:trPr>
          <w:trHeight w:val="351"/>
          <w:jc w:val="center"/>
        </w:trPr>
        <w:tc>
          <w:tcPr>
            <w:tcW w:w="1100" w:type="pct"/>
            <w:tcBorders>
              <w:left w:val="nil"/>
              <w:right w:val="nil"/>
            </w:tcBorders>
            <w:vAlign w:val="center"/>
          </w:tcPr>
          <w:p w14:paraId="21BA026F" w14:textId="77777777" w:rsidR="00C02F5A" w:rsidRPr="00C02F5A" w:rsidRDefault="00C02F5A" w:rsidP="00C02F5A">
            <w:pPr>
              <w:pStyle w:val="tablecopy"/>
              <w:jc w:val="center"/>
              <w:rPr>
                <w:rFonts w:ascii="Garamond" w:hAnsi="Garamond"/>
              </w:rPr>
            </w:pPr>
            <w:r w:rsidRPr="00C02F5A">
              <w:rPr>
                <w:rFonts w:ascii="Garamond" w:hAnsi="Garamond"/>
              </w:rPr>
              <w:t>AIC</w:t>
            </w:r>
          </w:p>
        </w:tc>
        <w:tc>
          <w:tcPr>
            <w:tcW w:w="1695" w:type="pct"/>
            <w:tcBorders>
              <w:left w:val="nil"/>
              <w:right w:val="nil"/>
            </w:tcBorders>
            <w:vAlign w:val="center"/>
          </w:tcPr>
          <w:p w14:paraId="77FC31D0"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Small and close value with AIC</w:t>
            </w:r>
          </w:p>
          <w:p w14:paraId="2110026F" w14:textId="77777777" w:rsidR="00C02F5A" w:rsidRPr="00C02F5A" w:rsidRDefault="00C02F5A" w:rsidP="00C02F5A">
            <w:pPr>
              <w:pStyle w:val="tablecopy"/>
              <w:jc w:val="center"/>
              <w:rPr>
                <w:rFonts w:ascii="Garamond" w:hAnsi="Garamond"/>
              </w:rPr>
            </w:pPr>
            <w:r w:rsidRPr="00C02F5A">
              <w:rPr>
                <w:rFonts w:ascii="Garamond" w:hAnsi="Garamond"/>
              </w:rPr>
              <w:t>Saturated</w:t>
            </w:r>
          </w:p>
        </w:tc>
        <w:tc>
          <w:tcPr>
            <w:tcW w:w="1102" w:type="pct"/>
            <w:tcBorders>
              <w:left w:val="nil"/>
              <w:right w:val="nil"/>
            </w:tcBorders>
            <w:vAlign w:val="center"/>
          </w:tcPr>
          <w:p w14:paraId="7E3A1830"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M* = 856.74</w:t>
            </w:r>
          </w:p>
          <w:p w14:paraId="15BEEEAA"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 = 930.00</w:t>
            </w:r>
          </w:p>
          <w:p w14:paraId="58D6A1BC" w14:textId="77777777" w:rsidR="00C02F5A" w:rsidRPr="00C02F5A" w:rsidRDefault="00C02F5A" w:rsidP="00C02F5A">
            <w:pPr>
              <w:pStyle w:val="tablecopy"/>
              <w:jc w:val="center"/>
              <w:rPr>
                <w:rFonts w:ascii="Garamond" w:hAnsi="Garamond"/>
              </w:rPr>
            </w:pPr>
            <w:r w:rsidRPr="00C02F5A">
              <w:rPr>
                <w:rFonts w:ascii="Garamond" w:hAnsi="Garamond"/>
              </w:rPr>
              <w:t>I* = 4732.65</w:t>
            </w:r>
          </w:p>
        </w:tc>
        <w:tc>
          <w:tcPr>
            <w:tcW w:w="1102" w:type="pct"/>
            <w:tcBorders>
              <w:left w:val="nil"/>
              <w:right w:val="nil"/>
            </w:tcBorders>
            <w:vAlign w:val="center"/>
          </w:tcPr>
          <w:p w14:paraId="3D07890E"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493B3E53" w14:textId="77777777" w:rsidTr="006364C1">
        <w:trPr>
          <w:trHeight w:val="351"/>
          <w:jc w:val="center"/>
        </w:trPr>
        <w:tc>
          <w:tcPr>
            <w:tcW w:w="1100" w:type="pct"/>
            <w:tcBorders>
              <w:left w:val="nil"/>
              <w:right w:val="nil"/>
            </w:tcBorders>
            <w:vAlign w:val="center"/>
          </w:tcPr>
          <w:p w14:paraId="5A6307B7" w14:textId="77777777" w:rsidR="00C02F5A" w:rsidRPr="00C02F5A" w:rsidRDefault="00C02F5A" w:rsidP="00C02F5A">
            <w:pPr>
              <w:pStyle w:val="tablecopy"/>
              <w:jc w:val="center"/>
              <w:rPr>
                <w:rFonts w:ascii="Garamond" w:hAnsi="Garamond"/>
              </w:rPr>
            </w:pPr>
            <w:r w:rsidRPr="00C02F5A">
              <w:rPr>
                <w:rFonts w:ascii="Garamond" w:hAnsi="Garamond"/>
              </w:rPr>
              <w:t>CAIC</w:t>
            </w:r>
          </w:p>
        </w:tc>
        <w:tc>
          <w:tcPr>
            <w:tcW w:w="1695" w:type="pct"/>
            <w:tcBorders>
              <w:left w:val="nil"/>
              <w:right w:val="nil"/>
            </w:tcBorders>
            <w:vAlign w:val="center"/>
          </w:tcPr>
          <w:p w14:paraId="242BE34E"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Small and close value with CAIC</w:t>
            </w:r>
          </w:p>
          <w:p w14:paraId="42BBE96C" w14:textId="77777777" w:rsidR="00C02F5A" w:rsidRPr="00C02F5A" w:rsidRDefault="00C02F5A" w:rsidP="00C02F5A">
            <w:pPr>
              <w:pStyle w:val="tablecopy"/>
              <w:jc w:val="center"/>
              <w:rPr>
                <w:rFonts w:ascii="Garamond" w:hAnsi="Garamond"/>
              </w:rPr>
            </w:pPr>
            <w:r w:rsidRPr="00C02F5A">
              <w:rPr>
                <w:rFonts w:ascii="Garamond" w:hAnsi="Garamond"/>
              </w:rPr>
              <w:t>Saturated</w:t>
            </w:r>
          </w:p>
        </w:tc>
        <w:tc>
          <w:tcPr>
            <w:tcW w:w="1102" w:type="pct"/>
            <w:tcBorders>
              <w:left w:val="nil"/>
              <w:right w:val="nil"/>
            </w:tcBorders>
            <w:vAlign w:val="center"/>
          </w:tcPr>
          <w:p w14:paraId="3DF6B604"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M* = 1119.57</w:t>
            </w:r>
          </w:p>
          <w:p w14:paraId="3CB192DE"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 = 2810.19</w:t>
            </w:r>
          </w:p>
          <w:p w14:paraId="035C1935" w14:textId="77777777" w:rsidR="00C02F5A" w:rsidRPr="00C02F5A" w:rsidRDefault="00C02F5A" w:rsidP="00C02F5A">
            <w:pPr>
              <w:pStyle w:val="tablecopy"/>
              <w:jc w:val="center"/>
              <w:rPr>
                <w:rFonts w:ascii="Garamond" w:hAnsi="Garamond"/>
              </w:rPr>
            </w:pPr>
            <w:r w:rsidRPr="00C02F5A">
              <w:rPr>
                <w:rFonts w:ascii="Garamond" w:hAnsi="Garamond"/>
              </w:rPr>
              <w:t>I* = 4853.95</w:t>
            </w:r>
          </w:p>
        </w:tc>
        <w:tc>
          <w:tcPr>
            <w:tcW w:w="1102" w:type="pct"/>
            <w:tcBorders>
              <w:left w:val="nil"/>
              <w:right w:val="nil"/>
            </w:tcBorders>
            <w:vAlign w:val="center"/>
          </w:tcPr>
          <w:p w14:paraId="7F3FAF76"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0C5A59DE" w14:textId="77777777" w:rsidTr="006364C1">
        <w:trPr>
          <w:trHeight w:val="351"/>
          <w:jc w:val="center"/>
        </w:trPr>
        <w:tc>
          <w:tcPr>
            <w:tcW w:w="1100" w:type="pct"/>
            <w:tcBorders>
              <w:left w:val="nil"/>
              <w:right w:val="nil"/>
            </w:tcBorders>
            <w:vAlign w:val="center"/>
          </w:tcPr>
          <w:p w14:paraId="00D2C4C2" w14:textId="77777777" w:rsidR="00C02F5A" w:rsidRPr="00C02F5A" w:rsidRDefault="00C02F5A" w:rsidP="00C02F5A">
            <w:pPr>
              <w:pStyle w:val="tablecopy"/>
              <w:jc w:val="center"/>
              <w:rPr>
                <w:rFonts w:ascii="Garamond" w:hAnsi="Garamond"/>
              </w:rPr>
            </w:pPr>
            <w:r w:rsidRPr="00C02F5A">
              <w:rPr>
                <w:rFonts w:ascii="Garamond" w:hAnsi="Garamond"/>
              </w:rPr>
              <w:t>NFI</w:t>
            </w:r>
          </w:p>
        </w:tc>
        <w:tc>
          <w:tcPr>
            <w:tcW w:w="1695" w:type="pct"/>
            <w:tcBorders>
              <w:left w:val="nil"/>
              <w:right w:val="nil"/>
            </w:tcBorders>
            <w:vAlign w:val="center"/>
          </w:tcPr>
          <w:p w14:paraId="30D2E858"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NFI ≥ 0.90</w:t>
            </w:r>
          </w:p>
        </w:tc>
        <w:tc>
          <w:tcPr>
            <w:tcW w:w="1102" w:type="pct"/>
            <w:tcBorders>
              <w:left w:val="nil"/>
              <w:right w:val="nil"/>
            </w:tcBorders>
            <w:vAlign w:val="center"/>
          </w:tcPr>
          <w:p w14:paraId="262855B5"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0.85</w:t>
            </w:r>
          </w:p>
        </w:tc>
        <w:tc>
          <w:tcPr>
            <w:tcW w:w="1102" w:type="pct"/>
            <w:tcBorders>
              <w:left w:val="nil"/>
              <w:right w:val="nil"/>
            </w:tcBorders>
            <w:vAlign w:val="center"/>
          </w:tcPr>
          <w:p w14:paraId="746CC8A5" w14:textId="77777777" w:rsidR="00C02F5A" w:rsidRPr="00C02F5A" w:rsidRDefault="00C02F5A" w:rsidP="00C02F5A">
            <w:pPr>
              <w:pStyle w:val="tablecopy"/>
              <w:jc w:val="center"/>
              <w:rPr>
                <w:rFonts w:ascii="Garamond" w:hAnsi="Garamond"/>
              </w:rPr>
            </w:pPr>
            <w:r w:rsidRPr="00C02F5A">
              <w:rPr>
                <w:rFonts w:ascii="Garamond" w:hAnsi="Garamond"/>
              </w:rPr>
              <w:t>Marginal fit</w:t>
            </w:r>
          </w:p>
        </w:tc>
      </w:tr>
      <w:tr w:rsidR="00C02F5A" w:rsidRPr="00C02F5A" w14:paraId="12C89B44" w14:textId="77777777" w:rsidTr="006364C1">
        <w:trPr>
          <w:trHeight w:val="351"/>
          <w:jc w:val="center"/>
        </w:trPr>
        <w:tc>
          <w:tcPr>
            <w:tcW w:w="1100" w:type="pct"/>
            <w:tcBorders>
              <w:left w:val="nil"/>
              <w:right w:val="nil"/>
            </w:tcBorders>
            <w:vAlign w:val="center"/>
          </w:tcPr>
          <w:p w14:paraId="01365585" w14:textId="77777777" w:rsidR="00C02F5A" w:rsidRPr="00C02F5A" w:rsidRDefault="00C02F5A" w:rsidP="00C02F5A">
            <w:pPr>
              <w:pStyle w:val="tablecopy"/>
              <w:jc w:val="center"/>
              <w:rPr>
                <w:rFonts w:ascii="Garamond" w:hAnsi="Garamond"/>
              </w:rPr>
            </w:pPr>
            <w:r w:rsidRPr="00C02F5A">
              <w:rPr>
                <w:rFonts w:ascii="Garamond" w:hAnsi="Garamond"/>
              </w:rPr>
              <w:t>NNFI</w:t>
            </w:r>
          </w:p>
        </w:tc>
        <w:tc>
          <w:tcPr>
            <w:tcW w:w="1695" w:type="pct"/>
            <w:tcBorders>
              <w:left w:val="nil"/>
              <w:right w:val="nil"/>
            </w:tcBorders>
            <w:vAlign w:val="center"/>
          </w:tcPr>
          <w:p w14:paraId="1C7B87D1"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NNFI ≥ 0.90</w:t>
            </w:r>
          </w:p>
        </w:tc>
        <w:tc>
          <w:tcPr>
            <w:tcW w:w="1102" w:type="pct"/>
            <w:tcBorders>
              <w:left w:val="nil"/>
              <w:right w:val="nil"/>
            </w:tcBorders>
            <w:vAlign w:val="center"/>
          </w:tcPr>
          <w:p w14:paraId="4A160EC1"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0.92</w:t>
            </w:r>
          </w:p>
        </w:tc>
        <w:tc>
          <w:tcPr>
            <w:tcW w:w="1102" w:type="pct"/>
            <w:tcBorders>
              <w:left w:val="nil"/>
              <w:right w:val="nil"/>
            </w:tcBorders>
            <w:vAlign w:val="center"/>
          </w:tcPr>
          <w:p w14:paraId="4B40DF70"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24B488F4" w14:textId="77777777" w:rsidTr="006364C1">
        <w:trPr>
          <w:trHeight w:val="351"/>
          <w:jc w:val="center"/>
        </w:trPr>
        <w:tc>
          <w:tcPr>
            <w:tcW w:w="1100" w:type="pct"/>
            <w:tcBorders>
              <w:left w:val="nil"/>
              <w:right w:val="nil"/>
            </w:tcBorders>
            <w:vAlign w:val="center"/>
          </w:tcPr>
          <w:p w14:paraId="34F92F6F" w14:textId="77777777" w:rsidR="00C02F5A" w:rsidRPr="00C02F5A" w:rsidRDefault="00C02F5A" w:rsidP="00C02F5A">
            <w:pPr>
              <w:pStyle w:val="tablecopy"/>
              <w:jc w:val="center"/>
              <w:rPr>
                <w:rFonts w:ascii="Garamond" w:hAnsi="Garamond"/>
              </w:rPr>
            </w:pPr>
            <w:r w:rsidRPr="00C02F5A">
              <w:rPr>
                <w:rFonts w:ascii="Garamond" w:hAnsi="Garamond"/>
              </w:rPr>
              <w:t>CFI</w:t>
            </w:r>
          </w:p>
        </w:tc>
        <w:tc>
          <w:tcPr>
            <w:tcW w:w="1695" w:type="pct"/>
            <w:tcBorders>
              <w:left w:val="nil"/>
              <w:right w:val="nil"/>
            </w:tcBorders>
            <w:vAlign w:val="center"/>
          </w:tcPr>
          <w:p w14:paraId="569D83D9"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CFI ≥ 0.90</w:t>
            </w:r>
          </w:p>
        </w:tc>
        <w:tc>
          <w:tcPr>
            <w:tcW w:w="1102" w:type="pct"/>
            <w:tcBorders>
              <w:left w:val="nil"/>
              <w:right w:val="nil"/>
            </w:tcBorders>
            <w:vAlign w:val="center"/>
          </w:tcPr>
          <w:p w14:paraId="73D80374"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0.93</w:t>
            </w:r>
          </w:p>
        </w:tc>
        <w:tc>
          <w:tcPr>
            <w:tcW w:w="1102" w:type="pct"/>
            <w:tcBorders>
              <w:left w:val="nil"/>
              <w:right w:val="nil"/>
            </w:tcBorders>
            <w:vAlign w:val="center"/>
          </w:tcPr>
          <w:p w14:paraId="4109815C"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65883841" w14:textId="77777777" w:rsidTr="006364C1">
        <w:trPr>
          <w:trHeight w:val="351"/>
          <w:jc w:val="center"/>
        </w:trPr>
        <w:tc>
          <w:tcPr>
            <w:tcW w:w="1100" w:type="pct"/>
            <w:tcBorders>
              <w:left w:val="nil"/>
              <w:right w:val="nil"/>
            </w:tcBorders>
            <w:vAlign w:val="center"/>
          </w:tcPr>
          <w:p w14:paraId="3CF6CD03" w14:textId="77777777" w:rsidR="00C02F5A" w:rsidRPr="00C02F5A" w:rsidRDefault="00C02F5A" w:rsidP="00C02F5A">
            <w:pPr>
              <w:pStyle w:val="tablecopy"/>
              <w:jc w:val="center"/>
              <w:rPr>
                <w:rFonts w:ascii="Garamond" w:hAnsi="Garamond"/>
              </w:rPr>
            </w:pPr>
            <w:r w:rsidRPr="00C02F5A">
              <w:rPr>
                <w:rFonts w:ascii="Garamond" w:hAnsi="Garamond"/>
              </w:rPr>
              <w:t>IFI</w:t>
            </w:r>
          </w:p>
        </w:tc>
        <w:tc>
          <w:tcPr>
            <w:tcW w:w="1695" w:type="pct"/>
            <w:tcBorders>
              <w:left w:val="nil"/>
              <w:right w:val="nil"/>
            </w:tcBorders>
            <w:vAlign w:val="center"/>
          </w:tcPr>
          <w:p w14:paraId="6323B3CB"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IFI ≥ 0.90</w:t>
            </w:r>
          </w:p>
        </w:tc>
        <w:tc>
          <w:tcPr>
            <w:tcW w:w="1102" w:type="pct"/>
            <w:tcBorders>
              <w:left w:val="nil"/>
              <w:right w:val="nil"/>
            </w:tcBorders>
            <w:vAlign w:val="center"/>
          </w:tcPr>
          <w:p w14:paraId="6BB56C6D"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0.93</w:t>
            </w:r>
          </w:p>
        </w:tc>
        <w:tc>
          <w:tcPr>
            <w:tcW w:w="1102" w:type="pct"/>
            <w:tcBorders>
              <w:left w:val="nil"/>
              <w:right w:val="nil"/>
            </w:tcBorders>
            <w:vAlign w:val="center"/>
          </w:tcPr>
          <w:p w14:paraId="2A0D9134" w14:textId="77777777" w:rsidR="00C02F5A" w:rsidRPr="00C02F5A" w:rsidRDefault="00C02F5A" w:rsidP="00C02F5A">
            <w:pPr>
              <w:pStyle w:val="tablecopy"/>
              <w:jc w:val="center"/>
              <w:rPr>
                <w:rFonts w:ascii="Garamond" w:hAnsi="Garamond"/>
              </w:rPr>
            </w:pPr>
            <w:r w:rsidRPr="00C02F5A">
              <w:rPr>
                <w:rFonts w:ascii="Garamond" w:hAnsi="Garamond"/>
              </w:rPr>
              <w:t>Good fit</w:t>
            </w:r>
          </w:p>
        </w:tc>
      </w:tr>
      <w:tr w:rsidR="00C02F5A" w:rsidRPr="00C02F5A" w14:paraId="58DE16EF" w14:textId="77777777" w:rsidTr="006364C1">
        <w:trPr>
          <w:trHeight w:val="351"/>
          <w:jc w:val="center"/>
        </w:trPr>
        <w:tc>
          <w:tcPr>
            <w:tcW w:w="1100" w:type="pct"/>
            <w:tcBorders>
              <w:left w:val="nil"/>
              <w:right w:val="nil"/>
            </w:tcBorders>
            <w:vAlign w:val="center"/>
          </w:tcPr>
          <w:p w14:paraId="35E2F094" w14:textId="77777777" w:rsidR="00C02F5A" w:rsidRPr="00C02F5A" w:rsidRDefault="00C02F5A" w:rsidP="00C02F5A">
            <w:pPr>
              <w:pStyle w:val="tablecopy"/>
              <w:jc w:val="center"/>
              <w:rPr>
                <w:rFonts w:ascii="Garamond" w:hAnsi="Garamond"/>
              </w:rPr>
            </w:pPr>
            <w:r w:rsidRPr="00C02F5A">
              <w:rPr>
                <w:rFonts w:ascii="Garamond" w:hAnsi="Garamond"/>
              </w:rPr>
              <w:t>RFI</w:t>
            </w:r>
          </w:p>
        </w:tc>
        <w:tc>
          <w:tcPr>
            <w:tcW w:w="1695" w:type="pct"/>
            <w:tcBorders>
              <w:left w:val="nil"/>
              <w:right w:val="nil"/>
            </w:tcBorders>
            <w:vAlign w:val="center"/>
          </w:tcPr>
          <w:p w14:paraId="5E3424DF"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RFI ≥ 0.90</w:t>
            </w:r>
          </w:p>
        </w:tc>
        <w:tc>
          <w:tcPr>
            <w:tcW w:w="1102" w:type="pct"/>
            <w:tcBorders>
              <w:left w:val="nil"/>
              <w:right w:val="nil"/>
            </w:tcBorders>
            <w:vAlign w:val="center"/>
          </w:tcPr>
          <w:p w14:paraId="11776751"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0.84</w:t>
            </w:r>
          </w:p>
        </w:tc>
        <w:tc>
          <w:tcPr>
            <w:tcW w:w="1102" w:type="pct"/>
            <w:tcBorders>
              <w:left w:val="nil"/>
              <w:right w:val="nil"/>
            </w:tcBorders>
            <w:vAlign w:val="center"/>
          </w:tcPr>
          <w:p w14:paraId="2CC33BE9" w14:textId="77777777" w:rsidR="00C02F5A" w:rsidRPr="00C02F5A" w:rsidRDefault="00C02F5A" w:rsidP="00C02F5A">
            <w:pPr>
              <w:pStyle w:val="tablecopy"/>
              <w:jc w:val="center"/>
              <w:rPr>
                <w:rFonts w:ascii="Garamond" w:hAnsi="Garamond"/>
              </w:rPr>
            </w:pPr>
            <w:r w:rsidRPr="00C02F5A">
              <w:rPr>
                <w:rFonts w:ascii="Garamond" w:hAnsi="Garamond"/>
              </w:rPr>
              <w:t>Marginal fit</w:t>
            </w:r>
          </w:p>
        </w:tc>
      </w:tr>
      <w:tr w:rsidR="00C02F5A" w:rsidRPr="00C02F5A" w14:paraId="1B725D0A" w14:textId="77777777" w:rsidTr="006364C1">
        <w:trPr>
          <w:trHeight w:val="351"/>
          <w:jc w:val="center"/>
        </w:trPr>
        <w:tc>
          <w:tcPr>
            <w:tcW w:w="1100" w:type="pct"/>
            <w:tcBorders>
              <w:left w:val="nil"/>
              <w:right w:val="nil"/>
            </w:tcBorders>
            <w:vAlign w:val="center"/>
          </w:tcPr>
          <w:p w14:paraId="5B22BEFE" w14:textId="77777777" w:rsidR="00C02F5A" w:rsidRPr="00C02F5A" w:rsidRDefault="00C02F5A" w:rsidP="00C02F5A">
            <w:pPr>
              <w:pStyle w:val="tablecopy"/>
              <w:jc w:val="center"/>
              <w:rPr>
                <w:rFonts w:ascii="Garamond" w:hAnsi="Garamond"/>
              </w:rPr>
            </w:pPr>
            <w:r w:rsidRPr="00C02F5A">
              <w:rPr>
                <w:rFonts w:ascii="Garamond" w:hAnsi="Garamond"/>
              </w:rPr>
              <w:t>RMR</w:t>
            </w:r>
          </w:p>
        </w:tc>
        <w:tc>
          <w:tcPr>
            <w:tcW w:w="1695" w:type="pct"/>
            <w:tcBorders>
              <w:left w:val="nil"/>
              <w:right w:val="nil"/>
            </w:tcBorders>
            <w:vAlign w:val="center"/>
          </w:tcPr>
          <w:p w14:paraId="5F05ECE4"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Standardized RMR</w:t>
            </w:r>
          </w:p>
          <w:p w14:paraId="015DBFC6" w14:textId="77777777" w:rsidR="00C02F5A" w:rsidRPr="00C02F5A" w:rsidRDefault="00C02F5A" w:rsidP="00C02F5A">
            <w:pPr>
              <w:pStyle w:val="tablecopy"/>
              <w:jc w:val="center"/>
              <w:rPr>
                <w:rFonts w:ascii="Garamond" w:hAnsi="Garamond"/>
              </w:rPr>
            </w:pPr>
            <w:r w:rsidRPr="00C02F5A">
              <w:rPr>
                <w:rFonts w:ascii="Garamond" w:hAnsi="Garamond"/>
              </w:rPr>
              <w:t>≤ 0.05</w:t>
            </w:r>
          </w:p>
        </w:tc>
        <w:tc>
          <w:tcPr>
            <w:tcW w:w="1102" w:type="pct"/>
            <w:tcBorders>
              <w:left w:val="nil"/>
              <w:right w:val="nil"/>
            </w:tcBorders>
            <w:vAlign w:val="center"/>
          </w:tcPr>
          <w:p w14:paraId="0492B359"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0.087</w:t>
            </w:r>
          </w:p>
        </w:tc>
        <w:tc>
          <w:tcPr>
            <w:tcW w:w="1102" w:type="pct"/>
            <w:tcBorders>
              <w:left w:val="nil"/>
              <w:right w:val="nil"/>
            </w:tcBorders>
            <w:vAlign w:val="center"/>
          </w:tcPr>
          <w:p w14:paraId="0AF71B74"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 xml:space="preserve">Not good </w:t>
            </w:r>
          </w:p>
          <w:p w14:paraId="44E4E001" w14:textId="77777777" w:rsidR="00C02F5A" w:rsidRPr="00C02F5A" w:rsidRDefault="00C02F5A" w:rsidP="00C02F5A">
            <w:pPr>
              <w:pStyle w:val="tablecopy"/>
              <w:jc w:val="center"/>
              <w:rPr>
                <w:rFonts w:ascii="Garamond" w:hAnsi="Garamond"/>
              </w:rPr>
            </w:pPr>
          </w:p>
        </w:tc>
      </w:tr>
      <w:tr w:rsidR="00C02F5A" w:rsidRPr="00C02F5A" w14:paraId="235FF16B" w14:textId="77777777" w:rsidTr="006364C1">
        <w:trPr>
          <w:trHeight w:val="351"/>
          <w:jc w:val="center"/>
        </w:trPr>
        <w:tc>
          <w:tcPr>
            <w:tcW w:w="1100" w:type="pct"/>
            <w:tcBorders>
              <w:left w:val="nil"/>
              <w:right w:val="nil"/>
            </w:tcBorders>
            <w:vAlign w:val="center"/>
          </w:tcPr>
          <w:p w14:paraId="0D680A0C" w14:textId="77777777" w:rsidR="00C02F5A" w:rsidRPr="00C02F5A" w:rsidRDefault="00C02F5A" w:rsidP="00C02F5A">
            <w:pPr>
              <w:pStyle w:val="tablecopy"/>
              <w:jc w:val="center"/>
              <w:rPr>
                <w:rFonts w:ascii="Garamond" w:hAnsi="Garamond"/>
              </w:rPr>
            </w:pPr>
            <w:r w:rsidRPr="00C02F5A">
              <w:rPr>
                <w:rFonts w:ascii="Garamond" w:hAnsi="Garamond"/>
              </w:rPr>
              <w:t>GFI</w:t>
            </w:r>
          </w:p>
        </w:tc>
        <w:tc>
          <w:tcPr>
            <w:tcW w:w="1695" w:type="pct"/>
            <w:tcBorders>
              <w:left w:val="nil"/>
              <w:right w:val="nil"/>
            </w:tcBorders>
            <w:vAlign w:val="center"/>
          </w:tcPr>
          <w:p w14:paraId="6B5637C9"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GFI ≥ 0.90</w:t>
            </w:r>
          </w:p>
        </w:tc>
        <w:tc>
          <w:tcPr>
            <w:tcW w:w="1102" w:type="pct"/>
            <w:tcBorders>
              <w:left w:val="nil"/>
              <w:right w:val="nil"/>
            </w:tcBorders>
            <w:vAlign w:val="center"/>
          </w:tcPr>
          <w:p w14:paraId="65A71A85"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0.76</w:t>
            </w:r>
          </w:p>
        </w:tc>
        <w:tc>
          <w:tcPr>
            <w:tcW w:w="1102" w:type="pct"/>
            <w:tcBorders>
              <w:left w:val="nil"/>
              <w:right w:val="nil"/>
            </w:tcBorders>
            <w:vAlign w:val="center"/>
          </w:tcPr>
          <w:p w14:paraId="56B14DEF"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 xml:space="preserve">Not good </w:t>
            </w:r>
          </w:p>
          <w:p w14:paraId="6B07C00F" w14:textId="77777777" w:rsidR="00C02F5A" w:rsidRPr="00C02F5A" w:rsidRDefault="00C02F5A" w:rsidP="00C02F5A">
            <w:pPr>
              <w:pStyle w:val="tablecopy"/>
              <w:jc w:val="center"/>
              <w:rPr>
                <w:rFonts w:ascii="Garamond" w:hAnsi="Garamond"/>
              </w:rPr>
            </w:pPr>
          </w:p>
        </w:tc>
      </w:tr>
      <w:tr w:rsidR="00C02F5A" w:rsidRPr="00C02F5A" w14:paraId="74AD551C" w14:textId="77777777" w:rsidTr="006364C1">
        <w:trPr>
          <w:trHeight w:val="351"/>
          <w:jc w:val="center"/>
        </w:trPr>
        <w:tc>
          <w:tcPr>
            <w:tcW w:w="1100" w:type="pct"/>
            <w:tcBorders>
              <w:left w:val="nil"/>
              <w:right w:val="nil"/>
            </w:tcBorders>
            <w:vAlign w:val="center"/>
          </w:tcPr>
          <w:p w14:paraId="32BD53FD" w14:textId="77777777" w:rsidR="00C02F5A" w:rsidRPr="00C02F5A" w:rsidRDefault="00C02F5A" w:rsidP="00C02F5A">
            <w:pPr>
              <w:pStyle w:val="tablecopy"/>
              <w:jc w:val="center"/>
              <w:rPr>
                <w:rFonts w:ascii="Garamond" w:hAnsi="Garamond"/>
              </w:rPr>
            </w:pPr>
            <w:r w:rsidRPr="00C02F5A">
              <w:rPr>
                <w:rFonts w:ascii="Garamond" w:hAnsi="Garamond"/>
              </w:rPr>
              <w:t>AGFI</w:t>
            </w:r>
          </w:p>
        </w:tc>
        <w:tc>
          <w:tcPr>
            <w:tcW w:w="1695" w:type="pct"/>
            <w:tcBorders>
              <w:left w:val="nil"/>
              <w:right w:val="nil"/>
            </w:tcBorders>
            <w:vAlign w:val="center"/>
          </w:tcPr>
          <w:p w14:paraId="244BDAA4"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AGFI ≥ 0.90</w:t>
            </w:r>
          </w:p>
        </w:tc>
        <w:tc>
          <w:tcPr>
            <w:tcW w:w="1102" w:type="pct"/>
            <w:tcBorders>
              <w:left w:val="nil"/>
              <w:right w:val="nil"/>
            </w:tcBorders>
            <w:vAlign w:val="center"/>
          </w:tcPr>
          <w:p w14:paraId="0D0F953B"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0.72</w:t>
            </w:r>
          </w:p>
        </w:tc>
        <w:tc>
          <w:tcPr>
            <w:tcW w:w="1102" w:type="pct"/>
            <w:tcBorders>
              <w:left w:val="nil"/>
              <w:right w:val="nil"/>
            </w:tcBorders>
            <w:vAlign w:val="center"/>
          </w:tcPr>
          <w:p w14:paraId="29DCAF22" w14:textId="77777777" w:rsidR="00C02F5A" w:rsidRPr="00C02F5A" w:rsidRDefault="00C02F5A" w:rsidP="00C02F5A">
            <w:pPr>
              <w:pStyle w:val="Default"/>
              <w:jc w:val="center"/>
              <w:rPr>
                <w:rFonts w:ascii="Garamond" w:hAnsi="Garamond"/>
                <w:sz w:val="20"/>
                <w:szCs w:val="20"/>
              </w:rPr>
            </w:pPr>
            <w:r w:rsidRPr="00C02F5A">
              <w:rPr>
                <w:rFonts w:ascii="Garamond" w:hAnsi="Garamond"/>
                <w:sz w:val="20"/>
                <w:szCs w:val="20"/>
              </w:rPr>
              <w:t xml:space="preserve">Not good </w:t>
            </w:r>
          </w:p>
          <w:p w14:paraId="123775C2" w14:textId="77777777" w:rsidR="00C02F5A" w:rsidRPr="00C02F5A" w:rsidRDefault="00C02F5A" w:rsidP="00C02F5A">
            <w:pPr>
              <w:pStyle w:val="tablecopy"/>
              <w:jc w:val="center"/>
              <w:rPr>
                <w:rFonts w:ascii="Garamond" w:hAnsi="Garamond"/>
              </w:rPr>
            </w:pPr>
          </w:p>
        </w:tc>
      </w:tr>
    </w:tbl>
    <w:p w14:paraId="71F7E3C8" w14:textId="231C7012" w:rsidR="00C02F5A" w:rsidRPr="000F5153" w:rsidRDefault="00C02F5A" w:rsidP="00C02F5A">
      <w:pPr>
        <w:pStyle w:val="ListParagraph"/>
        <w:numPr>
          <w:ilvl w:val="0"/>
          <w:numId w:val="0"/>
        </w:numPr>
        <w:spacing w:line="360" w:lineRule="auto"/>
        <w:ind w:left="284"/>
        <w:jc w:val="both"/>
      </w:pPr>
      <w:r w:rsidRPr="00C02F5A">
        <w:t>Note: *M = Model; S = Saturated; I = Independence</w:t>
      </w:r>
    </w:p>
    <w:p w14:paraId="190504A9" w14:textId="060775BB" w:rsidR="00C02F5A" w:rsidRDefault="00C02F5A" w:rsidP="00C02F5A">
      <w:pPr>
        <w:ind w:firstLine="426"/>
        <w:jc w:val="both"/>
        <w:rPr>
          <w:szCs w:val="24"/>
          <w:lang w:val="en"/>
        </w:rPr>
      </w:pPr>
      <w:r w:rsidRPr="00C02F5A">
        <w:rPr>
          <w:szCs w:val="24"/>
          <w:lang w:val="en"/>
        </w:rPr>
        <w:t xml:space="preserve">Table </w:t>
      </w:r>
      <w:r>
        <w:rPr>
          <w:szCs w:val="24"/>
          <w:lang w:val="en"/>
        </w:rPr>
        <w:t>5</w:t>
      </w:r>
      <w:r w:rsidRPr="00C02F5A">
        <w:rPr>
          <w:szCs w:val="24"/>
          <w:lang w:val="en"/>
        </w:rPr>
        <w:t xml:space="preserve"> concludes suitability test results the whole model. From the discussion that has been done before, shows there are 5 GOF sizes that show poor match well, 2 size GOF shows marginal fit, and 7 GOF measures show good fit , so can concluded that compatibility the overall model is good fit.</w:t>
      </w:r>
    </w:p>
    <w:p w14:paraId="49CD5DE3" w14:textId="254025B0" w:rsidR="00C02F5A" w:rsidRPr="00C02F5A" w:rsidRDefault="00C02F5A" w:rsidP="00C02F5A">
      <w:pPr>
        <w:ind w:firstLine="0"/>
        <w:jc w:val="both"/>
        <w:rPr>
          <w:b/>
          <w:bCs/>
          <w:szCs w:val="24"/>
          <w:lang w:val="en"/>
        </w:rPr>
      </w:pPr>
      <w:r>
        <w:rPr>
          <w:b/>
          <w:bCs/>
          <w:szCs w:val="24"/>
          <w:lang w:val="en"/>
        </w:rPr>
        <w:br/>
      </w:r>
      <w:r w:rsidRPr="00C02F5A">
        <w:rPr>
          <w:b/>
          <w:bCs/>
          <w:szCs w:val="24"/>
          <w:lang w:val="en"/>
        </w:rPr>
        <w:t>Hypothesis Test Results</w:t>
      </w:r>
    </w:p>
    <w:p w14:paraId="53A39709" w14:textId="77777777" w:rsidR="00C02F5A" w:rsidRDefault="00C02F5A" w:rsidP="00C02F5A">
      <w:pPr>
        <w:numPr>
          <w:ilvl w:val="0"/>
          <w:numId w:val="7"/>
        </w:numPr>
        <w:ind w:left="284" w:hanging="284"/>
        <w:jc w:val="both"/>
        <w:rPr>
          <w:szCs w:val="24"/>
          <w:lang w:val="en"/>
        </w:rPr>
      </w:pPr>
      <w:r w:rsidRPr="00C02F5A">
        <w:rPr>
          <w:szCs w:val="24"/>
          <w:lang w:val="en"/>
        </w:rPr>
        <w:t>The beta coefficient for the work experience variable on performance is 0.387. Through the t test with a significance level of 0.05, the t count results for the work experience variable on performance are greater than t table (3.830&gt; 1.645). The test results state that work experience has a positive and significant effect on performance. Thus it can be concluded that hypothesis 1 (H1), namely work experience has a positive and significant effect on the performance of public high school teachers in the city of Bandar Lampung is supported.</w:t>
      </w:r>
    </w:p>
    <w:p w14:paraId="473B14B9" w14:textId="77777777" w:rsidR="00C02F5A" w:rsidRDefault="00C02F5A" w:rsidP="00C02F5A">
      <w:pPr>
        <w:numPr>
          <w:ilvl w:val="0"/>
          <w:numId w:val="7"/>
        </w:numPr>
        <w:ind w:left="284" w:hanging="284"/>
        <w:jc w:val="both"/>
        <w:rPr>
          <w:szCs w:val="24"/>
          <w:lang w:val="en"/>
        </w:rPr>
      </w:pPr>
      <w:r w:rsidRPr="00C02F5A">
        <w:rPr>
          <w:szCs w:val="24"/>
          <w:lang w:val="en"/>
        </w:rPr>
        <w:t>The beta coefficient of the motivation variable on performance is 0.273. Through the t test with a significance level of 0.05, the calculated t results for the motivation variable on performance were greater than the t table (2.697&gt;1.645). The test results state that motivation has a positive and significant influence on performance. Thus, it can be concluded that hypothesis 2 (H2), namely that motivation has a positive and significant effect on the performance of State High School teachers in Bandar Lampung City, is supported.</w:t>
      </w:r>
    </w:p>
    <w:p w14:paraId="35C50381" w14:textId="77777777" w:rsidR="00C02F5A" w:rsidRDefault="00C02F5A" w:rsidP="00C02F5A">
      <w:pPr>
        <w:numPr>
          <w:ilvl w:val="0"/>
          <w:numId w:val="7"/>
        </w:numPr>
        <w:ind w:left="284" w:hanging="284"/>
        <w:jc w:val="both"/>
        <w:rPr>
          <w:szCs w:val="24"/>
          <w:lang w:val="en"/>
        </w:rPr>
      </w:pPr>
      <w:r w:rsidRPr="00C02F5A">
        <w:rPr>
          <w:szCs w:val="24"/>
          <w:lang w:val="en"/>
        </w:rPr>
        <w:t xml:space="preserve">The beta coefficient of the commitment to performance variable is 0.286. Through the t test with a significance level of 0.05, the calculated t results for the commitment to performance variable were greater than the t table (3.351&gt;1.645). The test results stated that commitment had a positive and significant effect on the performance of public high school teachers in Bandar Lampung City. Thus, it can be concluded that hypothesis 3 (H3) is supported, namely </w:t>
      </w:r>
      <w:r w:rsidRPr="00C02F5A">
        <w:rPr>
          <w:szCs w:val="24"/>
          <w:lang w:val="en"/>
        </w:rPr>
        <w:lastRenderedPageBreak/>
        <w:t>that commitment has a positive and significant effect on the performance of State High School teachers in Bandar Lampung City.</w:t>
      </w:r>
    </w:p>
    <w:p w14:paraId="5472710D" w14:textId="77777777" w:rsidR="00C02F5A" w:rsidRDefault="00C02F5A" w:rsidP="00C02F5A">
      <w:pPr>
        <w:numPr>
          <w:ilvl w:val="0"/>
          <w:numId w:val="7"/>
        </w:numPr>
        <w:ind w:left="284" w:hanging="284"/>
        <w:jc w:val="both"/>
        <w:rPr>
          <w:szCs w:val="24"/>
          <w:lang w:val="en"/>
        </w:rPr>
      </w:pPr>
      <w:r w:rsidRPr="00C02F5A">
        <w:rPr>
          <w:szCs w:val="24"/>
          <w:lang w:val="en"/>
        </w:rPr>
        <w:t>Commitment to mediate the effect of work experience on performance obtains a result of 0.111, which means commitment has no effect mediating work experience on performance. Thus it can be concluded that hypothesis 4 (H4), namely commitment to mediate the effect of work experience on the performance of public high school teachers in the city of Bandar Lampung is not supported.</w:t>
      </w:r>
    </w:p>
    <w:p w14:paraId="549E93EB" w14:textId="63B26740" w:rsidR="00210C56" w:rsidRPr="00C02F5A" w:rsidRDefault="00C02F5A" w:rsidP="00C02F5A">
      <w:pPr>
        <w:numPr>
          <w:ilvl w:val="0"/>
          <w:numId w:val="7"/>
        </w:numPr>
        <w:ind w:left="284" w:hanging="284"/>
        <w:jc w:val="both"/>
        <w:rPr>
          <w:szCs w:val="24"/>
          <w:lang w:val="en"/>
        </w:rPr>
      </w:pPr>
      <w:r w:rsidRPr="00C02F5A">
        <w:rPr>
          <w:szCs w:val="24"/>
          <w:lang w:val="en"/>
        </w:rPr>
        <w:t>Commitment to mediate the effect of motivation on performance obtained a result of 0.078, which means commitment does not mediate the effect of motivation on performance. Thus it can be concluded that hypothesis 5 (H5), namely commitment to mediate the influence of motivation on the performance of public high school teachers in the city of Bandar Lampung is not supported.</w:t>
      </w:r>
    </w:p>
    <w:p w14:paraId="30D4B99E" w14:textId="77777777" w:rsidR="00CA7F4C" w:rsidRPr="002D26CD" w:rsidRDefault="002D26CD" w:rsidP="005428D8">
      <w:pPr>
        <w:pStyle w:val="7SubBagian-SubSection"/>
        <w:rPr>
          <w:rFonts w:ascii="Garamond" w:hAnsi="Garamond"/>
          <w:lang w:eastAsia="id-ID"/>
        </w:rPr>
      </w:pPr>
      <w:r>
        <w:rPr>
          <w:rFonts w:ascii="Garamond" w:hAnsi="Garamond"/>
          <w:lang w:eastAsia="id-ID"/>
        </w:rPr>
        <w:t>Discussion</w:t>
      </w:r>
    </w:p>
    <w:p w14:paraId="12D04897" w14:textId="77777777" w:rsidR="006364C1" w:rsidRDefault="00C02F5A" w:rsidP="006364C1">
      <w:pPr>
        <w:pStyle w:val="8ParagrafAwal-FirstParagraph"/>
        <w:spacing w:after="120"/>
        <w:ind w:firstLine="426"/>
        <w:rPr>
          <w:lang w:val="en"/>
        </w:rPr>
      </w:pPr>
      <w:r w:rsidRPr="00C02F5A">
        <w:rPr>
          <w:lang w:val="en"/>
        </w:rPr>
        <w:t xml:space="preserve">One possible factors influence performance employee is experience work. Experience Work found in employees who have have working hours more much to look forward to will have various type experience in solve many kinds of problem. Armed experience the expected each employee have quality source Power tall human in increase performance work more high </w:t>
      </w:r>
      <w:r w:rsidRPr="00C02F5A">
        <w:rPr>
          <w:lang w:val="en"/>
        </w:rPr>
        <w:fldChar w:fldCharType="begin" w:fldLock="1"/>
      </w:r>
      <w:r w:rsidRPr="00C02F5A">
        <w:rPr>
          <w:lang w:val="en"/>
        </w:rPr>
        <w:instrText>ADDIN CSL_CITATION {"citationItems":[{"id":"ITEM-1","itemData":{"DOI":"10.1080/09585192.2020.1754881","ISSN":"14664399","abstract":"Performance management is an ongoing process that intends to facilitate employee performance. There are concerns that this may lead to negative employee experiences. In education, an effectively operating performance management process is crucial, considering the challenging and demanding nature of the teaching profession. Drawing on social exchange theory and the job demands-resources model, we propose that when teachers perceive performance management as a process that adheres to the principles of a so-called strong HRM system (i.e. one that communicates distinctively, consistently and reaches high levels of consensus), they will feel more appreciated, valued and energized, as signaled by higher levels of affective organizational commitment and less exhaustion. We hypothesize that, in turn, these outcomes improve teacher performance. We collected data from 458 Flemish teachers and matched these with performance ratings provided by school principals. The results show that the perceived strength of a performance management process relates negatively to teacher exhaustion while relating positively to their performance. Moreover, the relationship between perceived performance management process strength and teacher performance appeared to be indirect, operating primarily through affective organizational commitment. We discuss several theoretical and practical implications.","author":[{"dropping-particle":"","family":"Waeyenberg","given":"Thomas","non-dropping-particle":"Van","parse-names":false,"suffix":""},{"dropping-particle":"","family":"Peccei","given":"Riccardo","non-dropping-particle":"","parse-names":false,"suffix":""},{"dropping-particle":"","family":"Decramer","given":"Adelien","non-dropping-particle":"","parse-names":false,"suffix":""}],"container-title":"International Journal of Human Resource Management","id":"ITEM-1","issue":"4","issued":{"date-parts":[["2022"]]},"page":"623-646","publisher":"Routledge","title":"Performance management and teacher performance: the role of affective organizational commitment and exhaustion","type":"article-journal","volume":"33"},"uris":["http://www.mendeley.com/documents/?uuid=f55cbb41-5d8d-4cfc-b042-962fe71dc479"]}],"mendeley":{"formattedCitation":"(Van Waeyenberg et al., 2022)","plainTextFormattedCitation":"(Van Waeyenberg et al., 2022)","previouslyFormattedCitation":"(Van Waeyenberg et al., 2022)"},"properties":{"noteIndex":0},"schema":"https://github.com/citation-style-language/schema/raw/master/csl-citation.json"}</w:instrText>
      </w:r>
      <w:r w:rsidRPr="00C02F5A">
        <w:rPr>
          <w:lang w:val="en"/>
        </w:rPr>
        <w:fldChar w:fldCharType="separate"/>
      </w:r>
      <w:r w:rsidRPr="00C02F5A">
        <w:rPr>
          <w:noProof/>
          <w:lang w:val="en"/>
        </w:rPr>
        <w:t>(Van Waeyenberg et al., 2022)</w:t>
      </w:r>
      <w:r w:rsidRPr="00C02F5A">
        <w:fldChar w:fldCharType="end"/>
      </w:r>
      <w:r w:rsidRPr="00C02F5A">
        <w:rPr>
          <w:lang w:val="en"/>
        </w:rPr>
        <w:t xml:space="preserve">. </w:t>
      </w:r>
      <w:r w:rsidRPr="00C02F5A">
        <w:rPr>
          <w:lang w:val="en"/>
        </w:rPr>
        <w:fldChar w:fldCharType="begin" w:fldLock="1"/>
      </w:r>
      <w:r w:rsidRPr="00C02F5A">
        <w:rPr>
          <w:lang w:val="en"/>
        </w:rPr>
        <w:instrText>ADDIN CSL_CITATION {"citationItems":[{"id":"ITEM-1","itemData":{"abstract":"ABSTRAK Penelitian ini bertujuan untuk menganalisi pengaruh profesonalisme dan komitmen organisasi dalam mendorong pencapaian kinerja ASN. Peneliitan ini melibatkan 100 orang dari pegawai ASN di provinsi Banten. Penelitian ini dilakukan dengan metode pengumpulan data dengan survei mengunakan kuesioner. Teknik analisis yang digunakan deskriptif dan statistik inferensial dengan menggunakan SmartPLS. Hasil penelitian menunjukan bawa komitmen organisasi berpengaruh terhadap kinerja ASN, Profesionalisme berpengaruh positif dan signifikan terhadap kinerja ASN, komitmen organisasi berpengaruh positif dan signifikan terhadap kinerja ASN dan profesionalisme berpengaruh tidak langsung terhadap kinerja ASN melalui komitmen organisasi. Kata Kunci : Profesionalisme, komitmen organisasi dan kinerja ASN ABSTRACT This study aims to analyze the effect of professionalism and organizational commitment in encouraging the achievement of ASN performance. This research involved 100 people from of state civil services of the Banten. This research was conducted using a data collection method using a survey using a questionnaire. The analytical technique used is descriptive and inferential statistics using SmartPLS. The results show that organizational commitment has a positive and significant effect on civil servent performance, professionalism has a positive and significant effect on the performance of state civil services, organizational commitment has a positive and significant effect on the performance of state civil services and professionalism has an indirect effect on the performance of state civil services through organizational commitment.","author":[{"dropping-particle":"","family":"Sapari Kahpi","given":"Heri","non-dropping-particle":"","parse-names":false,"suffix":""},{"dropping-particle":"","family":"Anwar Mahmud","given":"Toni","non-dropping-particle":"","parse-names":false,"suffix":""},{"dropping-particle":"","family":"Guli","given":"","non-dropping-particle":"","parse-names":false,"suffix":""},{"dropping-particle":"","family":"Endrawati Subroto","given":"Desty","non-dropping-particle":"","parse-names":false,"suffix":""}],"container-title":"Management Studies and Entrepreneurship Journal","id":"ITEM-1","issue":"2","issued":{"date-parts":[["2022"]]},"page":"466-476","title":"The Role Of Comitmen Organization In Mediating Professionalisme And The Performance Of State Civil Services (ASN) In Banten Province Peran Organisasi Komitmen Dalam Memediasi Profesionalisme dan Kinerja Aparatur Negeri Sipil (ASN) di Provinsi Banten","type":"article-journal","volume":"3"},"uris":["http://www.mendeley.com/documents/?uuid=fa411960-547b-47a4-82c4-e5ff7912f08f"]}],"mendeley":{"formattedCitation":"(Sapari Kahpi et al., 2022)","manualFormatting":"Sapari Kahpi et al (2022)","plainTextFormattedCitation":"(Sapari Kahpi et al., 2022)","previouslyFormattedCitation":"(Sapari Kahpi et al., 2022)"},"properties":{"noteIndex":0},"schema":"https://github.com/citation-style-language/schema/raw/master/csl-citation.json"}</w:instrText>
      </w:r>
      <w:r w:rsidRPr="00C02F5A">
        <w:rPr>
          <w:lang w:val="en"/>
        </w:rPr>
        <w:fldChar w:fldCharType="separate"/>
      </w:r>
      <w:r w:rsidRPr="00C02F5A">
        <w:rPr>
          <w:noProof/>
          <w:lang w:val="en"/>
        </w:rPr>
        <w:t>Sapari Kahpi et al (2022)</w:t>
      </w:r>
      <w:r w:rsidRPr="00C02F5A">
        <w:fldChar w:fldCharType="end"/>
      </w:r>
      <w:r w:rsidRPr="00C02F5A">
        <w:rPr>
          <w:lang w:val="en"/>
        </w:rPr>
        <w:t xml:space="preserve"> Experience work, training work, organizational climate and its influence on the performance of PT employees. PLN (Persero) Suluttenggo region. Type of research used is associative with use method analysis multiple linear regression. Techniques data collection with use purposive sampling method. Result of research This show that there is influence significant kindly simultaneous experience work, training work and climate organization to performance employee. </w:t>
      </w:r>
      <w:r w:rsidRPr="00C02F5A">
        <w:rPr>
          <w:lang w:val="en"/>
        </w:rPr>
        <w:fldChar w:fldCharType="begin" w:fldLock="1"/>
      </w:r>
      <w:r w:rsidRPr="00C02F5A">
        <w:rPr>
          <w:lang w:val="en"/>
        </w:rPr>
        <w:instrText>ADDIN CSL_CITATION {"citationItems":[{"id":"ITEM-1","itemData":{"DOI":"10.36778/jesya.v4i2.460","ISSN":"2614-3259","abstract":"The purpose of this study was to examine the effect of work-life balance on employee performance mediated by organizational commitment at PT YAUP Cikarang. This research uses quantitative methods. The research variable data collection was carried out by distributing questionnaires to as many as 50 respondents using the saturated sample method. The data analysis method used was the R-square test, Bootstrapping, Path Coefficient, and Specific indirect effects with Smart PLS software. The results of the study found that work-life balance has a positive and significant effect on employee performance, work-life balance has a positive and significant effect on organizational commitment. Organizational commitment has a positive and significant effect on employee performance. Organizational commitment can mediate the effect of work-life balance and employee performance.","author":[{"dropping-particle":"","family":"Badrianto","given":"Yuan","non-dropping-particle":"","parse-names":false,"suffix":""},{"dropping-particle":"","family":"Ekhsan","given":"Muhamad","non-dropping-particle":"","parse-names":false,"suffix":""}],"container-title":"Jesya (Jurnal Ekonomi &amp; Ekonomi Syariah)","id":"ITEM-1","issue":"2","issued":{"date-parts":[["2021"]]},"page":"951-962","title":"Pengaruh Work-life Balance terhadap Kinerja Karyawan yang di Mediasi Komitmen Organisasi","type":"article-journal","volume":"4"},"uris":["http://www.mendeley.com/documents/?uuid=84f66b17-6af0-4237-b2e6-a262daa1f4e1"]}],"mendeley":{"formattedCitation":"(Badrianto &amp; Ekhsan, 2021)","manualFormatting":"Badrianto &amp; Ekhsan (2021)","plainTextFormattedCitation":"(Badrianto &amp; Ekhsan, 2021)","previouslyFormattedCitation":"(Badrianto &amp; Ekhsan, 2021)"},"properties":{"noteIndex":0},"schema":"https://github.com/citation-style-language/schema/raw/master/csl-citation.json"}</w:instrText>
      </w:r>
      <w:r w:rsidRPr="00C02F5A">
        <w:rPr>
          <w:lang w:val="en"/>
        </w:rPr>
        <w:fldChar w:fldCharType="separate"/>
      </w:r>
      <w:r w:rsidRPr="00C02F5A">
        <w:rPr>
          <w:noProof/>
          <w:lang w:val="en"/>
        </w:rPr>
        <w:t>Badrianto &amp; Ekhsan (2021)</w:t>
      </w:r>
      <w:r w:rsidRPr="00C02F5A">
        <w:fldChar w:fldCharType="end"/>
      </w:r>
      <w:r w:rsidRPr="00C02F5A">
        <w:rPr>
          <w:lang w:val="en"/>
        </w:rPr>
        <w:t xml:space="preserve"> show that experience work influential positive and significant to development career. Education and training influential positive and significant to Development Kotur's career.</w:t>
      </w:r>
    </w:p>
    <w:p w14:paraId="0D9705A6" w14:textId="77777777" w:rsidR="006364C1" w:rsidRDefault="00C02F5A" w:rsidP="006364C1">
      <w:pPr>
        <w:pStyle w:val="8ParagrafAwal-FirstParagraph"/>
        <w:spacing w:after="120"/>
        <w:ind w:firstLine="426"/>
        <w:rPr>
          <w:lang w:val="en"/>
        </w:rPr>
      </w:pPr>
      <w:r w:rsidRPr="00C02F5A">
        <w:rPr>
          <w:lang w:val="en"/>
        </w:rPr>
        <w:fldChar w:fldCharType="begin" w:fldLock="1"/>
      </w:r>
      <w:r w:rsidRPr="00C02F5A">
        <w:rPr>
          <w:lang w:val="en"/>
        </w:rPr>
        <w:instrText>ADDIN CSL_CITATION {"citationItems":[{"id":"ITEM-1","itemData":{"DOI":"10.30742/equilibrium.v15i2.683","ISSN":"1693-1378","abstract":"This research aims to find out the effect of Transformational Leadership, Motivation, Organizational Commitment and teacher performance at SMU Abdurrohman Wahid Banjarmadu Karanggeneng Lamongan. The method used in this research is a quantitative approach. The population in this research were all SMK Abdurrohman Wahid Teachers. The sampling technique using census techniques with 42 samples. Technique of data analysis used in this study is analysis using Software smart PLS (Partial Least Square). The results of this study indicate that transformational leadership variables have no positive effect on organizational commitment, work motivation does not have a positive effect on organizational commitment, transformational leadership has a positive effect on teacher performance, work motivation does not have a positive effect on teacher performance, and organizational commitment has no positive effect on teacher performance.","author":[{"dropping-particle":"","family":"Azizah","given":"Nur","non-dropping-particle":"","parse-names":false,"suffix":""},{"dropping-particle":"","family":"Murgiyanto","given":"Murgiyanto","non-dropping-particle":"","parse-names":false,"suffix":""},{"dropping-particle":"","family":"Nugroho","given":"Riyadi","non-dropping-particle":"","parse-names":false,"suffix":""}],"container-title":"Equilibrium: Jurnal Ekonomi-Manajemen-Akuntansi","id":"ITEM-1","issue":"2","issued":{"date-parts":[["2019"]]},"page":"240","title":"Pengaruh Kepemimpinan Transformasional, Motivasi Kerja Terhadap Komitmen Organisasional Dan Kinerja Guru Pada SMK Abdurrahman Wahid Lamongan","type":"article-journal","volume":"15"},"uris":["http://www.mendeley.com/documents/?uuid=c102aaf9-140a-4e33-84cb-d8b68d89e146"]}],"mendeley":{"formattedCitation":"(Azizah et al., 2019)","manualFormatting":"Azizah et al (2019)","plainTextFormattedCitation":"(Azizah et al., 2019)","previouslyFormattedCitation":"(Azizah et al., 2019)"},"properties":{"noteIndex":0},"schema":"https://github.com/citation-style-language/schema/raw/master/csl-citation.json"}</w:instrText>
      </w:r>
      <w:r w:rsidRPr="00C02F5A">
        <w:rPr>
          <w:lang w:val="en"/>
        </w:rPr>
        <w:fldChar w:fldCharType="separate"/>
      </w:r>
      <w:r w:rsidRPr="00C02F5A">
        <w:rPr>
          <w:noProof/>
          <w:lang w:val="en"/>
        </w:rPr>
        <w:t>Azizah et al (2019)</w:t>
      </w:r>
      <w:r w:rsidRPr="00C02F5A">
        <w:fldChar w:fldCharType="end"/>
      </w:r>
      <w:r w:rsidRPr="00C02F5A">
        <w:rPr>
          <w:lang w:val="en"/>
        </w:rPr>
        <w:t xml:space="preserve"> explains motivation formed from employee attitude for face situation Work company (situation). Motivation is a condition or energy that might move employees to achieve company goals. The pro and positive attitude of employees towards work situations will strengthen their work motivation to achieve maximum performance. </w:t>
      </w:r>
      <w:r w:rsidRPr="00C02F5A">
        <w:rPr>
          <w:lang w:val="en"/>
        </w:rPr>
        <w:fldChar w:fldCharType="begin" w:fldLock="1"/>
      </w:r>
      <w:r w:rsidRPr="00C02F5A">
        <w:rPr>
          <w:lang w:val="en"/>
        </w:rPr>
        <w:instrText>ADDIN CSL_CITATION {"citationItems":[{"id":"ITEM-1","itemData":{"DOI":"10.36778/jesya.v6i1.925","ISSN":"2614-3259","abstract":"The purpose of this study was to determine the effect of work discipline, work motivation and organizational commitment on employee performance through employee job satisfaction at the Agency for Personnel and Human Resources Development (BKPSDM) Ogan Komering Ulu Regency. This type of research is Explanatory Research with the data used in this study is primary data obtained by using questionnaires and literature study. Data analysis used simple linear regression and multiple regression test with SPSS 26. Meanwhile, hypothesis testing used t test, f test, correlation coefficient, and coefficient of determination. Based on the results of the analysis, it can be concluded that there is a positive and significant influence between work discipline on satisfaction; positive and significant influence between work motivation on satisfaction; positive and significant influence between organizational commitment to satisfaction; positive and significant influence between work discipline, work motivation and organizational commitment to satisfaction; positive and significant influence between work discipline on loyalty; positive and significant influence between work motivation on loyalty; there is a positive and significant effect between organizational commitment to loyalty; there is a positive and significant influence between work discipline, work motivation and organizational commitment to loyalty; and the positive and significant influence between work discipline, work motivation and organizational commitment on employee loyalty through employee job satisfaction.","author":[{"dropping-particle":"","family":"Rahayu","given":"Sri","non-dropping-particle":"","parse-names":false,"suffix":""},{"dropping-particle":"","family":"Dahlia","given":"Dahlia","non-dropping-particle":"","parse-names":false,"suffix":""}],"container-title":"JESYA","id":"ITEM-1","issue":"1","issued":{"date-parts":[["2023"]]},"page":"370-386","title":"Pengaruh Disiplin Kerja, Motivasi Kerja Dan Komitmen Organisasi Terhadap Kepuasan Kerja dan Kinerja Pegawai","type":"article-journal","volume":"6"},"uris":["http://www.mendeley.com/documents/?uuid=c09715f4-d6db-479f-bc63-4aafc2e8cb22"]}],"mendeley":{"formattedCitation":"(Rahayu &amp; Dahlia, 2023)","manualFormatting":"Rahayu &amp; Dahlia (2023)","plainTextFormattedCitation":"(Rahayu &amp; Dahlia, 2023)","previouslyFormattedCitation":"(Rahayu &amp; Dahlia, 2023)"},"properties":{"noteIndex":0},"schema":"https://github.com/citation-style-language/schema/raw/master/csl-citation.json"}</w:instrText>
      </w:r>
      <w:r w:rsidRPr="00C02F5A">
        <w:rPr>
          <w:lang w:val="en"/>
        </w:rPr>
        <w:fldChar w:fldCharType="separate"/>
      </w:r>
      <w:r w:rsidRPr="00C02F5A">
        <w:rPr>
          <w:noProof/>
          <w:lang w:val="en"/>
        </w:rPr>
        <w:t>Rahayu &amp; Dahlia (2023)</w:t>
      </w:r>
      <w:r w:rsidRPr="00C02F5A">
        <w:fldChar w:fldCharType="end"/>
      </w:r>
      <w:r w:rsidRPr="00C02F5A">
        <w:rPr>
          <w:lang w:val="en"/>
        </w:rPr>
        <w:t xml:space="preserve"> that motivation is something strength the potential that exists within self a humans, who can developed Alone or developed by a number of strength outside the essence range around reward monetary and non- monetary rewards, which can be influence results its performance in a manner positive or negative. </w:t>
      </w:r>
      <w:r w:rsidRPr="00C02F5A">
        <w:rPr>
          <w:lang w:val="en"/>
        </w:rPr>
        <w:fldChar w:fldCharType="begin" w:fldLock="1"/>
      </w:r>
      <w:r w:rsidRPr="00C02F5A">
        <w:rPr>
          <w:lang w:val="en"/>
        </w:rPr>
        <w:instrText>ADDIN CSL_CITATION {"citationItems":[{"id":"ITEM-1","itemData":{"author":[{"dropping-particle":"","family":"Oktaviani","given":"T I A Ananda","non-dropping-particle":"","parse-names":false,"suffix":""},{"dropping-particle":"","family":"Garnasih","given":"Raden Lestari","non-dropping-particle":"","parse-names":false,"suffix":""}],"container-title":"Jurnal Manajemen Pendidikan dan iImu Sosial","id":"ITEM-1","issued":{"date-parts":[["2023"]]},"page":"543-547","title":"Apakah Budaya Organisasi Sangat Berpengaruh Terhadap Kinerja Pegawai ?","type":"article-journal"},"uris":["http://www.mendeley.com/documents/?uuid=d996ef3f-00f9-4d91-9902-4b8b81add2b5"]}],"mendeley":{"formattedCitation":"(Oktaviani &amp; Garnasih, 2023)","manualFormatting":"Oktaviani &amp; Garnasih (2023)","plainTextFormattedCitation":"(Oktaviani &amp; Garnasih, 2023)","previouslyFormattedCitation":"(Oktaviani &amp; Garnasih, 2023)"},"properties":{"noteIndex":0},"schema":"https://github.com/citation-style-language/schema/raw/master/csl-citation.json"}</w:instrText>
      </w:r>
      <w:r w:rsidRPr="00C02F5A">
        <w:rPr>
          <w:lang w:val="en"/>
        </w:rPr>
        <w:fldChar w:fldCharType="separate"/>
      </w:r>
      <w:r w:rsidRPr="00C02F5A">
        <w:rPr>
          <w:noProof/>
          <w:lang w:val="en"/>
        </w:rPr>
        <w:t>Oktaviani &amp; Garnasih (2023)</w:t>
      </w:r>
      <w:r w:rsidRPr="00C02F5A">
        <w:fldChar w:fldCharType="end"/>
      </w:r>
      <w:r w:rsidRPr="00C02F5A">
        <w:rPr>
          <w:lang w:val="en"/>
        </w:rPr>
        <w:t xml:space="preserve"> stated understanding motivation is question how method push excitement work subordinates, so that they Want to Work hard with give all abilities and skills For realize objective company. </w:t>
      </w:r>
      <w:r w:rsidRPr="00C02F5A">
        <w:rPr>
          <w:lang w:val="en"/>
        </w:rPr>
        <w:fldChar w:fldCharType="begin" w:fldLock="1"/>
      </w:r>
      <w:r w:rsidRPr="00C02F5A">
        <w:rPr>
          <w:lang w:val="en"/>
        </w:rPr>
        <w:instrText>ADDIN CSL_CITATION {"citationItems":[{"id":"ITEM-1","itemData":{"DOI":"10.31539/alignment.v6i1.4891","author":[{"dropping-particle":"","family":"Benshlomo","given":"Ohr","non-dropping-particle":"","parse-names":false,"suffix":""}],"container-title":"ALIGNMENT: Journal Of Administration and Educational Management","id":"ITEM-1","issue":"1","issued":{"date-parts":[["2023"]]},"page":"88-100","title":"Pengaruh Budaya Sekolah, Kompentensi Profesional dan Komitmen Organisasi Terhadap Kinerja Guru SMP Negeri Air Putih Kabupaten Batu Bara","type":"article-journal","volume":"4"},"uris":["http://www.mendeley.com/documents/?uuid=39d36ea2-9f05-4528-94a7-74c3b65f67fb"]}],"mendeley":{"formattedCitation":"(Benshlomo, 2023)","manualFormatting":"Benshlomo (2023)","plainTextFormattedCitation":"(Benshlomo, 2023)","previouslyFormattedCitation":"(Benshlomo, 2023)"},"properties":{"noteIndex":0},"schema":"https://github.com/citation-style-language/schema/raw/master/csl-citation.json"}</w:instrText>
      </w:r>
      <w:r w:rsidRPr="00C02F5A">
        <w:rPr>
          <w:lang w:val="en"/>
        </w:rPr>
        <w:fldChar w:fldCharType="separate"/>
      </w:r>
      <w:r w:rsidRPr="00C02F5A">
        <w:rPr>
          <w:noProof/>
          <w:lang w:val="en"/>
        </w:rPr>
        <w:t>Benshlomo (2023)</w:t>
      </w:r>
      <w:r w:rsidRPr="00C02F5A">
        <w:fldChar w:fldCharType="end"/>
      </w:r>
      <w:r w:rsidRPr="00C02F5A">
        <w:rPr>
          <w:lang w:val="en"/>
        </w:rPr>
        <w:t xml:space="preserve"> said that one business increase performance need done motivation work. </w:t>
      </w:r>
    </w:p>
    <w:p w14:paraId="2E872251" w14:textId="77777777" w:rsidR="006364C1" w:rsidRDefault="00C02F5A" w:rsidP="006364C1">
      <w:pPr>
        <w:pStyle w:val="8ParagrafAwal-FirstParagraph"/>
        <w:spacing w:after="120"/>
        <w:ind w:firstLine="426"/>
        <w:rPr>
          <w:lang w:val="en-US"/>
        </w:rPr>
      </w:pPr>
      <w:r w:rsidRPr="00C02F5A">
        <w:rPr>
          <w:lang w:val="en"/>
        </w:rPr>
        <w:fldChar w:fldCharType="begin" w:fldLock="1"/>
      </w:r>
      <w:r w:rsidRPr="00C02F5A">
        <w:rPr>
          <w:lang w:val="en"/>
        </w:rPr>
        <w:instrText>ADDIN CSL_CITATION {"citationItems":[{"id":"ITEM-1","itemData":{"DOI":"10.30872/jfor.v24i2.10733","ISSN":"1411-1713","abstract":"Tujuan penelitian ini adalah untuk mengetahui dan menjelaskan pengaruh profesionalisme, motivasi kerja dan pengaruh iklim organisasi terhadap kinerja guru di SMP Islam Diponegoro Surakarta. Penelitian ini didasarkan pada metode kuantitatif. Populasi dalam penelitian ini adalah seluruh guru SMP Islam Diponegoro Surakarta. Penelitian ini menggunakan sampling jenuh (metode sensus), seluruh populasi dijadikan sampel, dengan jumlah guru sebanyak 56 orang. Teknik pengumpulan data yang digunakan adalah kuesioner. Teknik analisis data dalam penelitian ini adalah berupa analisis regresi linier berganda dengan program SPSS versi 25. Hasil penelitian ini menunjukkan bahwa profesionalisme, motivasi kerja dan iklim organisasi secara simultan berpengaruh positif dan signifikan terhadap kinerja guru pada SMP Islam Diponegoro Surakarta dengan hasil pengujian F hitung lebih besar dari F tabel (18,892 2,783) dan diperoleh nilai signifikansi (0,000 0,05). Berdasarkan hasil pengujian koefisien determinasi (RÂ²) sebesar 0,722 atau 72,2% bahwa kinerja guru dapat dijelaskan oleh profesionalisme, motivasi kerja dan iklim organisasi untuk sisanya 27,8% dijelaskan oleh variabel lain yang tidak dalam penelitian ini.","author":[{"dropping-particle":"","family":"Iqmalia","given":"Nadia","non-dropping-particle":"","parse-names":false,"suffix":""},{"dropping-particle":"","family":"Istiqomah","given":"Istiqomah","non-dropping-particle":"","parse-names":false,"suffix":""},{"dropping-particle":"","family":"Hartono","given":"Sri","non-dropping-particle":"","parse-names":false,"suffix":""}],"container-title":"Forum Ekonomi","id":"ITEM-1","issue":"2","issued":{"date-parts":[["2022"]]},"page":"395-401","title":"Kinerja guru di tinjau dari profesionalisme, motivasi kerja dan iklim organisasi","type":"article-journal","volume":"24"},"uris":["http://www.mendeley.com/documents/?uuid=68a3b58a-51a7-446d-a251-aa49e0e530ff"]}],"mendeley":{"formattedCitation":"(Iqmalia et al., 2022)","manualFormatting":"Iqmalia et al (2022)","plainTextFormattedCitation":"(Iqmalia et al., 2022)","previouslyFormattedCitation":"(Iqmalia et al., 2022)"},"properties":{"noteIndex":0},"schema":"https://github.com/citation-style-language/schema/raw/master/csl-citation.json"}</w:instrText>
      </w:r>
      <w:r w:rsidRPr="00C02F5A">
        <w:rPr>
          <w:lang w:val="en"/>
        </w:rPr>
        <w:fldChar w:fldCharType="separate"/>
      </w:r>
      <w:r w:rsidRPr="00C02F5A">
        <w:rPr>
          <w:noProof/>
          <w:lang w:val="en"/>
        </w:rPr>
        <w:t>Iqmalia et al (2022)</w:t>
      </w:r>
      <w:r w:rsidRPr="00C02F5A">
        <w:fldChar w:fldCharType="end"/>
      </w:r>
      <w:r w:rsidRPr="00C02F5A">
        <w:rPr>
          <w:lang w:val="en"/>
        </w:rPr>
        <w:t xml:space="preserve"> mentions in the world of work, commitment somebody to his profession nor organization place Work often becomes very important issue. Even a number of organization brave enter element commitment as one condition for hold position or position offered in advertisement vacancies work, this showing importance commitment in the world of work commitment work at the company no regardless from form connection between employee with work or profession in place employee the work for it objective business that the company wants that. If the company's ability to manage its employees well will create a strong commitment from its employees towards the company, conditions like this are very good for achieving company goals, because with conditions like these employees will be able to optimize their performance. Based on the explanation above, it can be concluded that organizational commitment can influence employee performance. By having high commitment, an employee will carry out their duties or work in an orderly and smooth manner so that work results (performance) will increase and will have an impact on employee performance. company goals can be achieved optimally. </w:t>
      </w:r>
      <w:r w:rsidRPr="00C02F5A">
        <w:rPr>
          <w:lang w:val="en"/>
        </w:rPr>
        <w:lastRenderedPageBreak/>
        <w:t xml:space="preserve">Research results in line with research </w:t>
      </w:r>
      <w:r w:rsidRPr="00C02F5A">
        <w:rPr>
          <w:lang w:val="en"/>
        </w:rPr>
        <w:fldChar w:fldCharType="begin" w:fldLock="1"/>
      </w:r>
      <w:r w:rsidRPr="00C02F5A">
        <w:rPr>
          <w:lang w:val="en"/>
        </w:rPr>
        <w:instrText>ADDIN CSL_CITATION {"citationItems":[{"id":"ITEM-1","itemData":{"DOI":"10.24014/japkp.v1i2.11729","abstract":"The organization is a tool to achieve the goals that should be able to give clarity to one's status within the organization, both in terms of bonding, the position and role. One effort to improve the effectiveness of work is the attention to commitment, and changing organizational culture. Organizational commitment is a psychological bond for employees to the organization of the Ministry of Religious city Pariaman, willingness to work hard and the desire to maintain membership. Enhancing the ability of the organization requires organizational change with changes in system variables, strategic objectives and control systems, interpersonal relationships. In this environment there is an organization of the Ministry of Religious City Pariaman that is a culture of organizational culture, norms and practices that apply daily. Organizational commitment, organizational change, and organizational culture are the three things that are needed of the Ministry of Religiou City Pariaman on the effectiveness of the work.","author":[{"dropping-particle":"","family":"Eldison","given":"Eldison","non-dropping-particle":"","parse-names":false,"suffix":""}],"container-title":"Jurnal Administrasi Pendidikan &amp; Konseling Pendidikan","id":"ITEM-1","issue":"2","issued":{"date-parts":[["2020"]]},"page":"73","title":"Peningkatan Efektivitas Kerja Melalui Komitmen Perubahan dan Budaya Organisasi Kementerian Agama Kota Pariaman","type":"article-journal","volume":"1"},"uris":["http://www.mendeley.com/documents/?uuid=947b06c8-652e-461e-924c-74b43bb51ce7"]}],"mendeley":{"formattedCitation":"(Eldison, 2020)","manualFormatting":"Eldison (2020)","plainTextFormattedCitation":"(Eldison, 2020)","previouslyFormattedCitation":"(Eldison, 2020)"},"properties":{"noteIndex":0},"schema":"https://github.com/citation-style-language/schema/raw/master/csl-citation.json"}</w:instrText>
      </w:r>
      <w:r w:rsidRPr="00C02F5A">
        <w:rPr>
          <w:lang w:val="en"/>
        </w:rPr>
        <w:fldChar w:fldCharType="separate"/>
      </w:r>
      <w:r w:rsidRPr="00C02F5A">
        <w:rPr>
          <w:noProof/>
          <w:lang w:val="en"/>
        </w:rPr>
        <w:t>Eldison (2020)</w:t>
      </w:r>
      <w:r w:rsidRPr="00C02F5A">
        <w:fldChar w:fldCharType="end"/>
      </w:r>
      <w:r w:rsidRPr="00C02F5A">
        <w:rPr>
          <w:lang w:val="en"/>
        </w:rPr>
        <w:t xml:space="preserve"> that shows that commitment organization No influential to performance employees of the Social Service and the Surakarta City Manpower and Industry Service</w:t>
      </w:r>
      <w:r w:rsidR="006364C1">
        <w:rPr>
          <w:lang w:val="en-US"/>
        </w:rPr>
        <w:t>.</w:t>
      </w:r>
    </w:p>
    <w:p w14:paraId="73F802DC" w14:textId="3F39FC0C" w:rsidR="006364C1" w:rsidRPr="006364C1" w:rsidRDefault="006364C1" w:rsidP="006364C1">
      <w:pPr>
        <w:pStyle w:val="8ParagrafAwal-FirstParagraph"/>
        <w:spacing w:after="120"/>
        <w:ind w:firstLine="426"/>
        <w:rPr>
          <w:lang w:val="en"/>
        </w:rPr>
      </w:pPr>
      <w:r w:rsidRPr="006364C1">
        <w:rPr>
          <w:rFonts w:eastAsia="SimSun"/>
          <w:spacing w:val="-1"/>
          <w:szCs w:val="20"/>
          <w:lang w:val="en"/>
        </w:rPr>
        <w:t xml:space="preserve">Commitment organizational </w:t>
      </w:r>
      <w:r w:rsidRPr="006364C1">
        <w:rPr>
          <w:rFonts w:eastAsia="SimSun"/>
          <w:spacing w:val="-1"/>
          <w:szCs w:val="20"/>
          <w:lang w:val="en"/>
        </w:rPr>
        <w:fldChar w:fldCharType="begin" w:fldLock="1"/>
      </w:r>
      <w:r w:rsidRPr="006364C1">
        <w:rPr>
          <w:rFonts w:eastAsia="SimSun"/>
          <w:spacing w:val="-1"/>
          <w:szCs w:val="20"/>
          <w:lang w:val="en"/>
        </w:rPr>
        <w:instrText>ADDIN CSL_CITATION {"citationItems":[{"id":"ITEM-1","itemData":{"author":[{"dropping-particle":"","family":"Pradesa","given":"Hafid Aditya","non-dropping-particle":"","parse-names":false,"suffix":""},{"dropping-particle":"","family":"Sulistyan","given":"Riza Bahtiar","non-dropping-particle":"","parse-names":false,"suffix":""},{"dropping-particle":"","family":"Dharmanegara","given":"Ida Bagus Agung","non-dropping-particle":"","parse-names":false,"suffix":""}],"container-title":"Progress Conference","id":"ITEM-1","issue":"1","issued":{"date-parts":[["2021"]]},"page":"96-107","title":"Meningkatkan Perasaan Berkewajiban Individual Pada Organisasi: Peran Dari Iklim Kerja Etis dan Komitmen Afektif","type":"article-journal","volume":"4"},"uris":["http://www.mendeley.com/documents/?uuid=ad138b04-83cb-4ef3-a10e-31a72e815eca"]}],"mendeley":{"formattedCitation":"(Pradesa et al., 2021)","manualFormatting":"Pradesa et al (2021)","plainTextFormattedCitation":"(Pradesa et al., 2021)","previouslyFormattedCitation":"(Pradesa et al., 2021)"},"properties":{"noteIndex":0},"schema":"https://github.com/citation-style-language/schema/raw/master/csl-citation.json"}</w:instrText>
      </w:r>
      <w:r w:rsidRPr="006364C1">
        <w:rPr>
          <w:rFonts w:eastAsia="SimSun"/>
          <w:spacing w:val="-1"/>
          <w:szCs w:val="20"/>
          <w:lang w:val="en"/>
        </w:rPr>
        <w:fldChar w:fldCharType="separate"/>
      </w:r>
      <w:r w:rsidRPr="006364C1">
        <w:rPr>
          <w:rFonts w:eastAsia="SimSun"/>
          <w:noProof/>
          <w:spacing w:val="-1"/>
          <w:szCs w:val="20"/>
          <w:lang w:val="en"/>
        </w:rPr>
        <w:t>Pradesa et al (2021)</w:t>
      </w:r>
      <w:r w:rsidRPr="006364C1">
        <w:rPr>
          <w:rFonts w:eastAsia="SimSun"/>
          <w:spacing w:val="-1"/>
          <w:szCs w:val="20"/>
          <w:lang w:val="en"/>
        </w:rPr>
        <w:fldChar w:fldCharType="end"/>
      </w:r>
      <w:r w:rsidRPr="006364C1">
        <w:rPr>
          <w:rFonts w:eastAsia="SimSun"/>
          <w:spacing w:val="-1"/>
          <w:szCs w:val="20"/>
          <w:lang w:val="en"/>
        </w:rPr>
        <w:t xml:space="preserve"> identified three theme different in identify commitment. Third theme the is commitment as attachment affective to the organization, commitment as costs covered if leave or go out organization and commitment as obligation for still in organization. Mar'at (2018) stated that employees who have motivation high, they are will understand what to do, excited in work, work with like heart without there is pressure and ability give best results. Giving encouragement form motivation from superior to subordinates do in a manner Keep going continuously will create good relationship between superior with subordinates. Given employee encouragement will feel noticed, valued, and felt involved in activity organization, then will grow commitment to organization. The process of occurrence commitment Of course just need a long time, and there is lots influencing factors, employees who have commitment organizational tall own difference attitude than committed low.  Armstrong and Baron in Wibowo (2017) stated that performance is results job that has connection strong with objective strategic organization, satisfaction consumers and deliver contribution to the economy. Employees who own high performance of course just will makes it easier organization in reach goal. Superior own role important in give motivation and growth commitment organizational to employees to achieve performance employee. For reach objective organization needed performance high employees. High employee performance influenced motivation work and commitment organizational.</w:t>
      </w:r>
    </w:p>
    <w:p w14:paraId="1DF1EB92" w14:textId="77777777" w:rsidR="006364C1" w:rsidRDefault="002D26CD" w:rsidP="006364C1">
      <w:pPr>
        <w:pStyle w:val="7Bagian-Section"/>
        <w:spacing w:before="360"/>
        <w:jc w:val="both"/>
        <w:rPr>
          <w:lang w:val="en-US" w:eastAsia="id-ID"/>
        </w:rPr>
      </w:pPr>
      <w:r>
        <w:rPr>
          <w:lang w:val="en-US" w:eastAsia="id-ID"/>
        </w:rPr>
        <w:t>CONCLUSION</w:t>
      </w:r>
    </w:p>
    <w:p w14:paraId="2D21687A" w14:textId="528D17B9" w:rsidR="006364C1" w:rsidRPr="00F16F40" w:rsidRDefault="006364C1" w:rsidP="006364C1">
      <w:pPr>
        <w:pStyle w:val="7Bagian-Section"/>
        <w:spacing w:before="360"/>
        <w:ind w:firstLine="426"/>
        <w:jc w:val="both"/>
        <w:rPr>
          <w:lang w:val="en-US" w:eastAsia="id-ID"/>
        </w:rPr>
      </w:pPr>
      <w:r w:rsidRPr="006364C1">
        <w:rPr>
          <w:b w:val="0"/>
          <w:bCs w:val="0"/>
          <w:caps w:val="0"/>
          <w:kern w:val="0"/>
          <w:szCs w:val="24"/>
          <w:lang w:eastAsia="id-ID"/>
        </w:rPr>
        <w:t>Based on results research that has been presented above obtained conclusion that is experience work influential positive and significant to performance, motivation influential positive and significant to performance, commitment mediate influence experience work to performance and commitment mediate influence motivation to performance. With so the teacher can increase performance through experience work and work for produce quality work in accordance with criteria that have determined at school. Apart from that, you can increase motivation teachers work with method value results the work of teachers who have finish his job then give award for other teachers that, the teachers in order to improve connection between personal, so the teacher feels comfort and connection between teachers intertwined harmonious, with condition the can increase teacher performance. Also, can increase occurs teacher commitment to advance school with method make attachment with the teacher so the teacher will feel become part family at school.</w:t>
      </w:r>
      <w:r w:rsidR="00F16F40">
        <w:rPr>
          <w:b w:val="0"/>
          <w:bCs w:val="0"/>
          <w:caps w:val="0"/>
          <w:kern w:val="0"/>
          <w:szCs w:val="24"/>
          <w:lang w:val="en-US" w:eastAsia="id-ID"/>
        </w:rPr>
        <w:t xml:space="preserve"> </w:t>
      </w:r>
      <w:r w:rsidR="00F16F40" w:rsidRPr="00F16F40">
        <w:rPr>
          <w:b w:val="0"/>
          <w:bCs w:val="0"/>
          <w:caps w:val="0"/>
          <w:kern w:val="0"/>
          <w:szCs w:val="24"/>
          <w:lang w:val="en-US" w:eastAsia="id-ID"/>
        </w:rPr>
        <w:t>The results of this study can theoretically add to knowledge about human resources in the field of education about how commitment and work experience are used to motivate teacher performance. In addition, the results of this study also need to be tested again with a larger population and sample and research methods in order to improve and strengthen the results of this study.</w:t>
      </w:r>
    </w:p>
    <w:p w14:paraId="3F8D40B8" w14:textId="77777777" w:rsidR="00843BF0" w:rsidRPr="005A5ACC" w:rsidRDefault="009A2885" w:rsidP="005428D8">
      <w:pPr>
        <w:pStyle w:val="7Bagian-Section"/>
        <w:rPr>
          <w:lang w:val="en-US"/>
        </w:rPr>
      </w:pPr>
      <w:r w:rsidRPr="009A2885">
        <w:rPr>
          <w:lang w:val="en-US"/>
        </w:rPr>
        <w:t>bibliography</w:t>
      </w:r>
    </w:p>
    <w:p w14:paraId="39623183" w14:textId="529C6418" w:rsidR="006364C1" w:rsidRPr="006364C1" w:rsidRDefault="006364C1" w:rsidP="006364C1">
      <w:pPr>
        <w:widowControl w:val="0"/>
        <w:autoSpaceDE w:val="0"/>
        <w:autoSpaceDN w:val="0"/>
        <w:adjustRightInd w:val="0"/>
        <w:spacing w:after="40"/>
        <w:ind w:left="480" w:hanging="480"/>
        <w:jc w:val="both"/>
        <w:rPr>
          <w:noProof/>
          <w:szCs w:val="24"/>
        </w:rPr>
      </w:pPr>
      <w:r>
        <w:fldChar w:fldCharType="begin" w:fldLock="1"/>
      </w:r>
      <w:r>
        <w:instrText xml:space="preserve">ADDIN Mendeley Bibliography CSL_BIBLIOGRAPHY </w:instrText>
      </w:r>
      <w:r>
        <w:fldChar w:fldCharType="separate"/>
      </w:r>
      <w:r w:rsidRPr="006364C1">
        <w:rPr>
          <w:noProof/>
          <w:szCs w:val="24"/>
        </w:rPr>
        <w:t xml:space="preserve">Amelia, A., Manurung, K. A., &amp; Purnomo, D. B. (2022). Peranan Manajemen Sumberdaya Manusia Dalam Organisasi. </w:t>
      </w:r>
      <w:r w:rsidRPr="006364C1">
        <w:rPr>
          <w:i/>
          <w:iCs/>
          <w:noProof/>
          <w:szCs w:val="24"/>
        </w:rPr>
        <w:t>Mimbar Kampus: Jurnal Pendidikan dan Agama Islam</w:t>
      </w:r>
      <w:r w:rsidRPr="006364C1">
        <w:rPr>
          <w:noProof/>
          <w:szCs w:val="24"/>
        </w:rPr>
        <w:t xml:space="preserve">, </w:t>
      </w:r>
      <w:r w:rsidRPr="006364C1">
        <w:rPr>
          <w:i/>
          <w:iCs/>
          <w:noProof/>
          <w:szCs w:val="24"/>
        </w:rPr>
        <w:t>21</w:t>
      </w:r>
      <w:r w:rsidRPr="006364C1">
        <w:rPr>
          <w:noProof/>
          <w:szCs w:val="24"/>
        </w:rPr>
        <w:t>(2), 128–138. https://doi.org/10.47467/mk.v21i2.935</w:t>
      </w:r>
    </w:p>
    <w:p w14:paraId="071240F1"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Azizah, N., Murgiyanto, M., &amp; Nugroho, R. (2019). Pengaruh Kepemimpinan Transformasional, Motivasi Kerja Terhadap Komitmen Organisasional Dan Kinerja Guru Pada SMK Abdurrahman Wahid Lamongan. </w:t>
      </w:r>
      <w:r w:rsidRPr="006364C1">
        <w:rPr>
          <w:i/>
          <w:iCs/>
          <w:noProof/>
          <w:szCs w:val="24"/>
        </w:rPr>
        <w:t>Equilibrium: Jurnal Ekonomi-Manajemen-Akuntansi</w:t>
      </w:r>
      <w:r w:rsidRPr="006364C1">
        <w:rPr>
          <w:noProof/>
          <w:szCs w:val="24"/>
        </w:rPr>
        <w:t xml:space="preserve">, </w:t>
      </w:r>
      <w:r w:rsidRPr="006364C1">
        <w:rPr>
          <w:i/>
          <w:iCs/>
          <w:noProof/>
          <w:szCs w:val="24"/>
        </w:rPr>
        <w:t>15</w:t>
      </w:r>
      <w:r w:rsidRPr="006364C1">
        <w:rPr>
          <w:noProof/>
          <w:szCs w:val="24"/>
        </w:rPr>
        <w:t>(2), 240. https://doi.org/10.30742/equilibrium.v15i2.683</w:t>
      </w:r>
    </w:p>
    <w:p w14:paraId="62520290"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lastRenderedPageBreak/>
        <w:t xml:space="preserve">Badrianto, Y., &amp; Ekhsan, M. (2021). Pengaruh Work-life Balance terhadap Kinerja Karyawan yang di Mediasi Komitmen Organisasi. </w:t>
      </w:r>
      <w:r w:rsidRPr="006364C1">
        <w:rPr>
          <w:i/>
          <w:iCs/>
          <w:noProof/>
          <w:szCs w:val="24"/>
        </w:rPr>
        <w:t>Jesya (Jurnal Ekonomi &amp; Ekonomi Syariah)</w:t>
      </w:r>
      <w:r w:rsidRPr="006364C1">
        <w:rPr>
          <w:noProof/>
          <w:szCs w:val="24"/>
        </w:rPr>
        <w:t xml:space="preserve">, </w:t>
      </w:r>
      <w:r w:rsidRPr="006364C1">
        <w:rPr>
          <w:i/>
          <w:iCs/>
          <w:noProof/>
          <w:szCs w:val="24"/>
        </w:rPr>
        <w:t>4</w:t>
      </w:r>
      <w:r w:rsidRPr="006364C1">
        <w:rPr>
          <w:noProof/>
          <w:szCs w:val="24"/>
        </w:rPr>
        <w:t>(2), 951–962. https://doi.org/10.36778/jesya.v4i2.460</w:t>
      </w:r>
    </w:p>
    <w:p w14:paraId="7F39442C"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Benshlomo, O. (2023). Pengaruh Budaya Sekolah, Kompentensi Profesional dan Komitmen Organisasi Terhadap Kinerja Guru SMP Negeri Air Putih Kabupaten Batu Bara. </w:t>
      </w:r>
      <w:r w:rsidRPr="006364C1">
        <w:rPr>
          <w:i/>
          <w:iCs/>
          <w:noProof/>
          <w:szCs w:val="24"/>
        </w:rPr>
        <w:t>ALIGNMENT: Journal Of Administration and Educational Management</w:t>
      </w:r>
      <w:r w:rsidRPr="006364C1">
        <w:rPr>
          <w:noProof/>
          <w:szCs w:val="24"/>
        </w:rPr>
        <w:t xml:space="preserve">, </w:t>
      </w:r>
      <w:r w:rsidRPr="006364C1">
        <w:rPr>
          <w:i/>
          <w:iCs/>
          <w:noProof/>
          <w:szCs w:val="24"/>
        </w:rPr>
        <w:t>4</w:t>
      </w:r>
      <w:r w:rsidRPr="006364C1">
        <w:rPr>
          <w:noProof/>
          <w:szCs w:val="24"/>
        </w:rPr>
        <w:t>(1), 88–100. https://doi.org/10.31539/alignment.v6i1.4891</w:t>
      </w:r>
    </w:p>
    <w:p w14:paraId="52F94179"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Bukhari, S. G. A. S., Jamali, S. G., Larik, A. R., &amp; Chang, M. S. (2023). Fostering intrinsic motivation among teachers: Importance of work environment and individual differences. </w:t>
      </w:r>
      <w:r w:rsidRPr="006364C1">
        <w:rPr>
          <w:i/>
          <w:iCs/>
          <w:noProof/>
          <w:szCs w:val="24"/>
        </w:rPr>
        <w:t>International Journal of School and Educational Psychology</w:t>
      </w:r>
      <w:r w:rsidRPr="006364C1">
        <w:rPr>
          <w:noProof/>
          <w:szCs w:val="24"/>
        </w:rPr>
        <w:t xml:space="preserve">, </w:t>
      </w:r>
      <w:r w:rsidRPr="006364C1">
        <w:rPr>
          <w:i/>
          <w:iCs/>
          <w:noProof/>
          <w:szCs w:val="24"/>
        </w:rPr>
        <w:t>11</w:t>
      </w:r>
      <w:r w:rsidRPr="006364C1">
        <w:rPr>
          <w:noProof/>
          <w:szCs w:val="24"/>
        </w:rPr>
        <w:t>(1), 1–19. https://doi.org/10.1080/21683603.2021.1925182</w:t>
      </w:r>
    </w:p>
    <w:p w14:paraId="3F51919A"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Chotimah, C., &amp; Nisa, K. (2019). Peran Manajemen Sumber Daya Manusia Dalam Meningkatkan Mutu Pendidikan di MA Bertaraf Internasional Amanatul Ummah Pacet. </w:t>
      </w:r>
      <w:r w:rsidRPr="006364C1">
        <w:rPr>
          <w:i/>
          <w:iCs/>
          <w:noProof/>
          <w:szCs w:val="24"/>
        </w:rPr>
        <w:t>Prosiding Seminar Nasional Multidisiplin</w:t>
      </w:r>
      <w:r w:rsidRPr="006364C1">
        <w:rPr>
          <w:noProof/>
          <w:szCs w:val="24"/>
        </w:rPr>
        <w:t>, 125–128.</w:t>
      </w:r>
    </w:p>
    <w:p w14:paraId="374BA833"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Darim, A. (2020). Manajemen Perilaku Organisasi Dalam Mewujudkan Sumber Daya Manusia Yang Kompeten. </w:t>
      </w:r>
      <w:r w:rsidRPr="006364C1">
        <w:rPr>
          <w:i/>
          <w:iCs/>
          <w:noProof/>
          <w:szCs w:val="24"/>
        </w:rPr>
        <w:t>Munaddhomah: Jurnal Manajemen Pendidikan Islam</w:t>
      </w:r>
      <w:r w:rsidRPr="006364C1">
        <w:rPr>
          <w:noProof/>
          <w:szCs w:val="24"/>
        </w:rPr>
        <w:t xml:space="preserve">, </w:t>
      </w:r>
      <w:r w:rsidRPr="006364C1">
        <w:rPr>
          <w:i/>
          <w:iCs/>
          <w:noProof/>
          <w:szCs w:val="24"/>
        </w:rPr>
        <w:t>1</w:t>
      </w:r>
      <w:r w:rsidRPr="006364C1">
        <w:rPr>
          <w:noProof/>
          <w:szCs w:val="24"/>
        </w:rPr>
        <w:t>(1), 22–40. https://doi.org/10.31538/munaddhomah.v1i1.29</w:t>
      </w:r>
    </w:p>
    <w:p w14:paraId="6C806B8A"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Didi, W., Adha, S., &amp; Asriyah, I. (2019). Pengaruh Komunikasi Terhadap Kinerja Pegawai Pada Badan Penanggulangan Bencana Daerah (Bpbd) Provinsi Banten. </w:t>
      </w:r>
      <w:r w:rsidRPr="006364C1">
        <w:rPr>
          <w:i/>
          <w:iCs/>
          <w:noProof/>
          <w:szCs w:val="24"/>
        </w:rPr>
        <w:t>Jurnal Ekonomi Vokasi</w:t>
      </w:r>
      <w:r w:rsidRPr="006364C1">
        <w:rPr>
          <w:noProof/>
          <w:szCs w:val="24"/>
        </w:rPr>
        <w:t xml:space="preserve">, </w:t>
      </w:r>
      <w:r w:rsidRPr="006364C1">
        <w:rPr>
          <w:i/>
          <w:iCs/>
          <w:noProof/>
          <w:szCs w:val="24"/>
        </w:rPr>
        <w:t>2</w:t>
      </w:r>
      <w:r w:rsidRPr="006364C1">
        <w:rPr>
          <w:noProof/>
          <w:szCs w:val="24"/>
        </w:rPr>
        <w:t>(2), 18–30. https://e-jurnal.lppmunsera.org/index.php/JEV/article/view/1487/1040</w:t>
      </w:r>
    </w:p>
    <w:p w14:paraId="15AA841F"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Eldison, E. (2020). Peningkatan Efektivitas Kerja Melalui Komitmen Perubahan dan Budaya Organisasi Kementerian Agama Kota Pariaman. </w:t>
      </w:r>
      <w:r w:rsidRPr="006364C1">
        <w:rPr>
          <w:i/>
          <w:iCs/>
          <w:noProof/>
          <w:szCs w:val="24"/>
        </w:rPr>
        <w:t>Jurnal Administrasi Pendidikan &amp; Konseling Pendidikan</w:t>
      </w:r>
      <w:r w:rsidRPr="006364C1">
        <w:rPr>
          <w:noProof/>
          <w:szCs w:val="24"/>
        </w:rPr>
        <w:t xml:space="preserve">, </w:t>
      </w:r>
      <w:r w:rsidRPr="006364C1">
        <w:rPr>
          <w:i/>
          <w:iCs/>
          <w:noProof/>
          <w:szCs w:val="24"/>
        </w:rPr>
        <w:t>1</w:t>
      </w:r>
      <w:r w:rsidRPr="006364C1">
        <w:rPr>
          <w:noProof/>
          <w:szCs w:val="24"/>
        </w:rPr>
        <w:t>(2), 73. https://doi.org/10.24014/japkp.v1i2.11729</w:t>
      </w:r>
    </w:p>
    <w:p w14:paraId="499B5DD2"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Iqmalia, N., Istiqomah, I., &amp; Hartono, S. (2022). Kinerja guru di tinjau dari profesionalisme, motivasi kerja dan iklim organisasi. </w:t>
      </w:r>
      <w:r w:rsidRPr="006364C1">
        <w:rPr>
          <w:i/>
          <w:iCs/>
          <w:noProof/>
          <w:szCs w:val="24"/>
        </w:rPr>
        <w:t>Forum Ekonomi</w:t>
      </w:r>
      <w:r w:rsidRPr="006364C1">
        <w:rPr>
          <w:noProof/>
          <w:szCs w:val="24"/>
        </w:rPr>
        <w:t xml:space="preserve">, </w:t>
      </w:r>
      <w:r w:rsidRPr="006364C1">
        <w:rPr>
          <w:i/>
          <w:iCs/>
          <w:noProof/>
          <w:szCs w:val="24"/>
        </w:rPr>
        <w:t>24</w:t>
      </w:r>
      <w:r w:rsidRPr="006364C1">
        <w:rPr>
          <w:noProof/>
          <w:szCs w:val="24"/>
        </w:rPr>
        <w:t>(2), 395–401. https://doi.org/10.30872/jfor.v24i2.10733</w:t>
      </w:r>
    </w:p>
    <w:p w14:paraId="686B22D8"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Jaya, W. S. (2021). Kinerja Guru Ditinjau dari Gaya Kepemimpinan Kepala Sekolah dan Motivasi Kerja. </w:t>
      </w:r>
      <w:r w:rsidRPr="006364C1">
        <w:rPr>
          <w:i/>
          <w:iCs/>
          <w:noProof/>
          <w:szCs w:val="24"/>
        </w:rPr>
        <w:t>Jurnal Obsesi</w:t>
      </w:r>
      <w:r w:rsidRPr="006364C1">
        <w:rPr>
          <w:rFonts w:ascii="Times New Roman" w:hAnsi="Times New Roman"/>
          <w:i/>
          <w:iCs/>
          <w:noProof/>
          <w:szCs w:val="24"/>
        </w:rPr>
        <w:t> </w:t>
      </w:r>
      <w:r w:rsidRPr="006364C1">
        <w:rPr>
          <w:i/>
          <w:iCs/>
          <w:noProof/>
          <w:szCs w:val="24"/>
        </w:rPr>
        <w:t>: Jurnal Pendidikan Anak Usia Dini</w:t>
      </w:r>
      <w:r w:rsidRPr="006364C1">
        <w:rPr>
          <w:noProof/>
          <w:szCs w:val="24"/>
        </w:rPr>
        <w:t xml:space="preserve">, </w:t>
      </w:r>
      <w:r w:rsidRPr="006364C1">
        <w:rPr>
          <w:i/>
          <w:iCs/>
          <w:noProof/>
          <w:szCs w:val="24"/>
        </w:rPr>
        <w:t>6</w:t>
      </w:r>
      <w:r w:rsidRPr="006364C1">
        <w:rPr>
          <w:noProof/>
          <w:szCs w:val="24"/>
        </w:rPr>
        <w:t>(3), 1286–1294. https://doi.org/10.31004/obsesi.v6i3.1738</w:t>
      </w:r>
    </w:p>
    <w:p w14:paraId="7124A556"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Koedel, C., Li, J., Springer, M. G., &amp; Tan, L. (2019). Teacher Performance Ratings and Professional Improvement. </w:t>
      </w:r>
      <w:r w:rsidRPr="006364C1">
        <w:rPr>
          <w:i/>
          <w:iCs/>
          <w:noProof/>
          <w:szCs w:val="24"/>
        </w:rPr>
        <w:t>Journal of Research on Educational Effectiveness</w:t>
      </w:r>
      <w:r w:rsidRPr="006364C1">
        <w:rPr>
          <w:noProof/>
          <w:szCs w:val="24"/>
        </w:rPr>
        <w:t xml:space="preserve">, </w:t>
      </w:r>
      <w:r w:rsidRPr="006364C1">
        <w:rPr>
          <w:i/>
          <w:iCs/>
          <w:noProof/>
          <w:szCs w:val="24"/>
        </w:rPr>
        <w:t>12</w:t>
      </w:r>
      <w:r w:rsidRPr="006364C1">
        <w:rPr>
          <w:noProof/>
          <w:szCs w:val="24"/>
        </w:rPr>
        <w:t>(1), 90–115. https://doi.org/10.1080/19345747.2018.1490471</w:t>
      </w:r>
    </w:p>
    <w:p w14:paraId="25E7D186"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Maharani, N. R., &amp; Woyanti, N. (2023). The Effect of Education, Health, Minimum Wage, Foreign Investment on Labor Productivity in 33 Provinces of Indonesia. </w:t>
      </w:r>
      <w:r w:rsidRPr="006364C1">
        <w:rPr>
          <w:i/>
          <w:iCs/>
          <w:noProof/>
          <w:szCs w:val="24"/>
        </w:rPr>
        <w:t>Optimum: Jurnal Ekonomi dan Pembangunan</w:t>
      </w:r>
      <w:r w:rsidRPr="006364C1">
        <w:rPr>
          <w:noProof/>
          <w:szCs w:val="24"/>
        </w:rPr>
        <w:t xml:space="preserve">, </w:t>
      </w:r>
      <w:r w:rsidRPr="006364C1">
        <w:rPr>
          <w:i/>
          <w:iCs/>
          <w:noProof/>
          <w:szCs w:val="24"/>
        </w:rPr>
        <w:t>12</w:t>
      </w:r>
      <w:r w:rsidRPr="006364C1">
        <w:rPr>
          <w:noProof/>
          <w:szCs w:val="24"/>
        </w:rPr>
        <w:t>(2), 122–134. https://doi.org/10.12928/optimum.v12i2.5227</w:t>
      </w:r>
    </w:p>
    <w:p w14:paraId="495DD021"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Nurul Aslamiyah, M. F. F. (2022). Pengaruh Manajerial Kepala Madrasah Terhadap Kinerja Guru Di Madrasah Aliyah Hidayatul Mubtadiin Jati Agung, Lampung Selatan. </w:t>
      </w:r>
      <w:r w:rsidRPr="006364C1">
        <w:rPr>
          <w:i/>
          <w:iCs/>
          <w:noProof/>
          <w:szCs w:val="24"/>
        </w:rPr>
        <w:t>An-Nur</w:t>
      </w:r>
      <w:r w:rsidRPr="006364C1">
        <w:rPr>
          <w:noProof/>
          <w:szCs w:val="24"/>
        </w:rPr>
        <w:t xml:space="preserve">, </w:t>
      </w:r>
      <w:r w:rsidRPr="006364C1">
        <w:rPr>
          <w:i/>
          <w:iCs/>
          <w:noProof/>
          <w:szCs w:val="24"/>
        </w:rPr>
        <w:t>8</w:t>
      </w:r>
      <w:r w:rsidRPr="006364C1">
        <w:rPr>
          <w:noProof/>
          <w:szCs w:val="24"/>
        </w:rPr>
        <w:t>, 1–12.</w:t>
      </w:r>
    </w:p>
    <w:p w14:paraId="2F0662A6"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Oktaviani, T. I. A. A., &amp; Garnasih, R. L. (2023). Apakah Budaya Organisasi Sangat Berpengaruh Terhadap Kinerja Pegawai</w:t>
      </w:r>
      <w:r w:rsidRPr="006364C1">
        <w:rPr>
          <w:rFonts w:ascii="Times New Roman" w:hAnsi="Times New Roman"/>
          <w:noProof/>
          <w:szCs w:val="24"/>
        </w:rPr>
        <w:t> </w:t>
      </w:r>
      <w:r w:rsidRPr="006364C1">
        <w:rPr>
          <w:noProof/>
          <w:szCs w:val="24"/>
        </w:rPr>
        <w:t xml:space="preserve">? </w:t>
      </w:r>
      <w:r w:rsidRPr="006364C1">
        <w:rPr>
          <w:i/>
          <w:iCs/>
          <w:noProof/>
          <w:szCs w:val="24"/>
        </w:rPr>
        <w:t>Jurnal Manajemen Pendidikan dan iImu Sosial</w:t>
      </w:r>
      <w:r w:rsidRPr="006364C1">
        <w:rPr>
          <w:noProof/>
          <w:szCs w:val="24"/>
        </w:rPr>
        <w:t>, 543–547.</w:t>
      </w:r>
    </w:p>
    <w:p w14:paraId="230339EC"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Pradesa, H. A., Sulistyan, R. B., &amp; Dharmanegara, I. B. A. (2021). Meningkatkan Perasaan Berkewajiban Individual Pada Organisasi: Peran Dari Iklim Kerja Etis dan Komitmen Afektif. </w:t>
      </w:r>
      <w:r w:rsidRPr="006364C1">
        <w:rPr>
          <w:i/>
          <w:iCs/>
          <w:noProof/>
          <w:szCs w:val="24"/>
        </w:rPr>
        <w:t>Progress Conference</w:t>
      </w:r>
      <w:r w:rsidRPr="006364C1">
        <w:rPr>
          <w:noProof/>
          <w:szCs w:val="24"/>
        </w:rPr>
        <w:t xml:space="preserve">, </w:t>
      </w:r>
      <w:r w:rsidRPr="006364C1">
        <w:rPr>
          <w:i/>
          <w:iCs/>
          <w:noProof/>
          <w:szCs w:val="24"/>
        </w:rPr>
        <w:t>4</w:t>
      </w:r>
      <w:r w:rsidRPr="006364C1">
        <w:rPr>
          <w:noProof/>
          <w:szCs w:val="24"/>
        </w:rPr>
        <w:t>(1), 96–107.</w:t>
      </w:r>
    </w:p>
    <w:p w14:paraId="4DD1CE60"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Pratiwi, E. E., &amp; Idawati, L. (2019). Influence of Service Leadership, Work Satisfaction, and Intrinsic Motivation Against Teacher Performance on Lentera Harapan Sangihe School. </w:t>
      </w:r>
      <w:r w:rsidRPr="006364C1">
        <w:rPr>
          <w:i/>
          <w:iCs/>
          <w:noProof/>
          <w:szCs w:val="24"/>
        </w:rPr>
        <w:t>Jurnal Nalar Pendidikan</w:t>
      </w:r>
      <w:r w:rsidRPr="006364C1">
        <w:rPr>
          <w:noProof/>
          <w:szCs w:val="24"/>
        </w:rPr>
        <w:t xml:space="preserve">, </w:t>
      </w:r>
      <w:r w:rsidRPr="006364C1">
        <w:rPr>
          <w:i/>
          <w:iCs/>
          <w:noProof/>
          <w:szCs w:val="24"/>
        </w:rPr>
        <w:t>7</w:t>
      </w:r>
      <w:r w:rsidRPr="006364C1">
        <w:rPr>
          <w:noProof/>
          <w:szCs w:val="24"/>
        </w:rPr>
        <w:t>(1), 85–93.</w:t>
      </w:r>
    </w:p>
    <w:p w14:paraId="04E72932"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Purwoko, S. (2018). Pengaruh kepemimpinan kepala sekolah, komitmen guru, disiplin kerja guru, dan budaya sekolah terhadap kinerja guru SMK. </w:t>
      </w:r>
      <w:r w:rsidRPr="006364C1">
        <w:rPr>
          <w:i/>
          <w:iCs/>
          <w:noProof/>
          <w:szCs w:val="24"/>
        </w:rPr>
        <w:t>Jurnal Akuntabilitas Manajemen Pendidikan</w:t>
      </w:r>
      <w:r w:rsidRPr="006364C1">
        <w:rPr>
          <w:noProof/>
          <w:szCs w:val="24"/>
        </w:rPr>
        <w:t xml:space="preserve">, </w:t>
      </w:r>
      <w:r w:rsidRPr="006364C1">
        <w:rPr>
          <w:i/>
          <w:iCs/>
          <w:noProof/>
          <w:szCs w:val="24"/>
        </w:rPr>
        <w:t>6</w:t>
      </w:r>
      <w:r w:rsidRPr="006364C1">
        <w:rPr>
          <w:noProof/>
          <w:szCs w:val="24"/>
        </w:rPr>
        <w:t>(2), 150. https://doi.org/10.21831/amp.v6i2.8467</w:t>
      </w:r>
    </w:p>
    <w:p w14:paraId="3324215B"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Rahayu, S., &amp; Dahlia, D. (2023). Pengaruh Disiplin Kerja, Motivasi Kerja Dan Komitmen </w:t>
      </w:r>
      <w:r w:rsidRPr="006364C1">
        <w:rPr>
          <w:noProof/>
          <w:szCs w:val="24"/>
        </w:rPr>
        <w:lastRenderedPageBreak/>
        <w:t xml:space="preserve">Organisasi Terhadap Kepuasan Kerja dan Kinerja Pegawai. </w:t>
      </w:r>
      <w:r w:rsidRPr="006364C1">
        <w:rPr>
          <w:i/>
          <w:iCs/>
          <w:noProof/>
          <w:szCs w:val="24"/>
        </w:rPr>
        <w:t>JESYA</w:t>
      </w:r>
      <w:r w:rsidRPr="006364C1">
        <w:rPr>
          <w:noProof/>
          <w:szCs w:val="24"/>
        </w:rPr>
        <w:t xml:space="preserve">, </w:t>
      </w:r>
      <w:r w:rsidRPr="006364C1">
        <w:rPr>
          <w:i/>
          <w:iCs/>
          <w:noProof/>
          <w:szCs w:val="24"/>
        </w:rPr>
        <w:t>6</w:t>
      </w:r>
      <w:r w:rsidRPr="006364C1">
        <w:rPr>
          <w:noProof/>
          <w:szCs w:val="24"/>
        </w:rPr>
        <w:t>(1), 370–386. https://doi.org/10.36778/jesya.v6i1.925</w:t>
      </w:r>
    </w:p>
    <w:p w14:paraId="0C2070C3"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Ritonga, T. N. (2021). Pengalaman dan Kompetensi Profesional Guru terhadap Kinerja Guru. </w:t>
      </w:r>
      <w:r w:rsidRPr="006364C1">
        <w:rPr>
          <w:i/>
          <w:iCs/>
          <w:noProof/>
          <w:szCs w:val="24"/>
        </w:rPr>
        <w:t>Al-Liqo: Jurnal Pendidikan Islam</w:t>
      </w:r>
      <w:r w:rsidRPr="006364C1">
        <w:rPr>
          <w:noProof/>
          <w:szCs w:val="24"/>
        </w:rPr>
        <w:t xml:space="preserve">, </w:t>
      </w:r>
      <w:r w:rsidRPr="006364C1">
        <w:rPr>
          <w:i/>
          <w:iCs/>
          <w:noProof/>
          <w:szCs w:val="24"/>
        </w:rPr>
        <w:t>6</w:t>
      </w:r>
      <w:r w:rsidRPr="006364C1">
        <w:rPr>
          <w:noProof/>
          <w:szCs w:val="24"/>
        </w:rPr>
        <w:t>(2), 195–216. https://doi.org/10.46963/alliqo.v6i2.463</w:t>
      </w:r>
    </w:p>
    <w:p w14:paraId="53928E01"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Sapari Kahpi, H., Anwar Mahmud, T., Guli, &amp; Endrawati Subroto, D. (2022). The Role Of Comitmen Organization In Mediating Professionalisme And The Performance Of State Civil Services (ASN) In Banten Province Peran Organisasi Komitmen Dalam Memediasi Profesionalisme dan Kinerja Aparatur Negeri Sipil (ASN) di Provinsi Banten. </w:t>
      </w:r>
      <w:r w:rsidRPr="006364C1">
        <w:rPr>
          <w:i/>
          <w:iCs/>
          <w:noProof/>
          <w:szCs w:val="24"/>
        </w:rPr>
        <w:t>Management Studies and Entrepreneurship Journal</w:t>
      </w:r>
      <w:r w:rsidRPr="006364C1">
        <w:rPr>
          <w:noProof/>
          <w:szCs w:val="24"/>
        </w:rPr>
        <w:t xml:space="preserve">, </w:t>
      </w:r>
      <w:r w:rsidRPr="006364C1">
        <w:rPr>
          <w:i/>
          <w:iCs/>
          <w:noProof/>
          <w:szCs w:val="24"/>
        </w:rPr>
        <w:t>3</w:t>
      </w:r>
      <w:r w:rsidRPr="006364C1">
        <w:rPr>
          <w:noProof/>
          <w:szCs w:val="24"/>
        </w:rPr>
        <w:t>(2), 466–476. scholar.archive.org</w:t>
      </w:r>
    </w:p>
    <w:p w14:paraId="385E99CD"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Siregar, E. (2018). Faktor-Faktor Yang Mempengaruhi Manajemen Pendidikan Dan Pelatihan (Diklat) Dalam Upaya Pengembangan Sumber Daya Manusia (Sdm). </w:t>
      </w:r>
      <w:r w:rsidRPr="006364C1">
        <w:rPr>
          <w:i/>
          <w:iCs/>
          <w:noProof/>
          <w:szCs w:val="24"/>
        </w:rPr>
        <w:t>Jurnal Dinamika Pendidikan</w:t>
      </w:r>
      <w:r w:rsidRPr="006364C1">
        <w:rPr>
          <w:noProof/>
          <w:szCs w:val="24"/>
        </w:rPr>
        <w:t xml:space="preserve">, </w:t>
      </w:r>
      <w:r w:rsidRPr="006364C1">
        <w:rPr>
          <w:i/>
          <w:iCs/>
          <w:noProof/>
          <w:szCs w:val="24"/>
        </w:rPr>
        <w:t>11</w:t>
      </w:r>
      <w:r w:rsidRPr="006364C1">
        <w:rPr>
          <w:noProof/>
          <w:szCs w:val="24"/>
        </w:rPr>
        <w:t>(2), 153. https://doi.org/10.33541/jdp.v11i2.812</w:t>
      </w:r>
    </w:p>
    <w:p w14:paraId="203F145B"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Štemberger, T. (2020). The teacher career cycle and initial motivation: the case of Slovenian secondary school teachers. </w:t>
      </w:r>
      <w:r w:rsidRPr="006364C1">
        <w:rPr>
          <w:i/>
          <w:iCs/>
          <w:noProof/>
          <w:szCs w:val="24"/>
        </w:rPr>
        <w:t>Teacher Development</w:t>
      </w:r>
      <w:r w:rsidRPr="006364C1">
        <w:rPr>
          <w:noProof/>
          <w:szCs w:val="24"/>
        </w:rPr>
        <w:t xml:space="preserve">, </w:t>
      </w:r>
      <w:r w:rsidRPr="006364C1">
        <w:rPr>
          <w:i/>
          <w:iCs/>
          <w:noProof/>
          <w:szCs w:val="24"/>
        </w:rPr>
        <w:t>24</w:t>
      </w:r>
      <w:r w:rsidRPr="006364C1">
        <w:rPr>
          <w:noProof/>
          <w:szCs w:val="24"/>
        </w:rPr>
        <w:t>(5), 709–726. https://doi.org/10.1080/13664530.2020.1829023</w:t>
      </w:r>
    </w:p>
    <w:p w14:paraId="2EFCBA75"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Sukamto, Y., &amp; Pardjono. (2016). Pengaruh Kompetensi dan Motivasi Terhadap Kinerja Guru SMP Andalan di Sleman. </w:t>
      </w:r>
      <w:r w:rsidRPr="006364C1">
        <w:rPr>
          <w:i/>
          <w:iCs/>
          <w:noProof/>
          <w:szCs w:val="24"/>
        </w:rPr>
        <w:t>Journal of Chemical Information and Modeling</w:t>
      </w:r>
      <w:r w:rsidRPr="006364C1">
        <w:rPr>
          <w:noProof/>
          <w:szCs w:val="24"/>
        </w:rPr>
        <w:t xml:space="preserve">, </w:t>
      </w:r>
      <w:r w:rsidRPr="006364C1">
        <w:rPr>
          <w:i/>
          <w:iCs/>
          <w:noProof/>
          <w:szCs w:val="24"/>
        </w:rPr>
        <w:t>53</w:t>
      </w:r>
      <w:r w:rsidRPr="006364C1">
        <w:rPr>
          <w:noProof/>
          <w:szCs w:val="24"/>
        </w:rPr>
        <w:t>(9), 1689–1699.</w:t>
      </w:r>
    </w:p>
    <w:p w14:paraId="3089D45A"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Utamy, R., Ahmad, S., &amp; Eddy, S. (2020). Implementasi Manajemen Sumber Daya Manusia. </w:t>
      </w:r>
      <w:r w:rsidRPr="006364C1">
        <w:rPr>
          <w:i/>
          <w:iCs/>
          <w:noProof/>
          <w:szCs w:val="24"/>
        </w:rPr>
        <w:t>Journal of Education Research</w:t>
      </w:r>
      <w:r w:rsidRPr="006364C1">
        <w:rPr>
          <w:noProof/>
          <w:szCs w:val="24"/>
        </w:rPr>
        <w:t xml:space="preserve">, </w:t>
      </w:r>
      <w:r w:rsidRPr="006364C1">
        <w:rPr>
          <w:i/>
          <w:iCs/>
          <w:noProof/>
          <w:szCs w:val="24"/>
        </w:rPr>
        <w:t>1</w:t>
      </w:r>
      <w:r w:rsidRPr="006364C1">
        <w:rPr>
          <w:noProof/>
          <w:szCs w:val="24"/>
        </w:rPr>
        <w:t>(3), 225–236. https://doi.org/10.37985/jer.v1i3.26</w:t>
      </w:r>
    </w:p>
    <w:p w14:paraId="32A43CDD"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Van Waeyenberg, T., Peccei, R., &amp; Decramer, A. (2022). Performance management and teacher performance: the role of affective organizational commitment and exhaustion. </w:t>
      </w:r>
      <w:r w:rsidRPr="006364C1">
        <w:rPr>
          <w:i/>
          <w:iCs/>
          <w:noProof/>
          <w:szCs w:val="24"/>
        </w:rPr>
        <w:t>International Journal of Human Resource Management</w:t>
      </w:r>
      <w:r w:rsidRPr="006364C1">
        <w:rPr>
          <w:noProof/>
          <w:szCs w:val="24"/>
        </w:rPr>
        <w:t xml:space="preserve">, </w:t>
      </w:r>
      <w:r w:rsidRPr="006364C1">
        <w:rPr>
          <w:i/>
          <w:iCs/>
          <w:noProof/>
          <w:szCs w:val="24"/>
        </w:rPr>
        <w:t>33</w:t>
      </w:r>
      <w:r w:rsidRPr="006364C1">
        <w:rPr>
          <w:noProof/>
          <w:szCs w:val="24"/>
        </w:rPr>
        <w:t>(4), 623–646. https://doi.org/10.1080/09585192.2020.1754881</w:t>
      </w:r>
    </w:p>
    <w:p w14:paraId="61BFBEA7"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Werdiningsih, W. (2021). Manajemen Sumber Daya Manusia dalam Meningkatkan Kompetensi Guru Melaksanakan Pembelajaran Daring. </w:t>
      </w:r>
      <w:r w:rsidRPr="006364C1">
        <w:rPr>
          <w:i/>
          <w:iCs/>
          <w:noProof/>
          <w:szCs w:val="24"/>
        </w:rPr>
        <w:t>Southeast Asian Journal of Islamic Education Management</w:t>
      </w:r>
      <w:r w:rsidRPr="006364C1">
        <w:rPr>
          <w:noProof/>
          <w:szCs w:val="24"/>
        </w:rPr>
        <w:t xml:space="preserve">, </w:t>
      </w:r>
      <w:r w:rsidRPr="006364C1">
        <w:rPr>
          <w:i/>
          <w:iCs/>
          <w:noProof/>
          <w:szCs w:val="24"/>
        </w:rPr>
        <w:t>2</w:t>
      </w:r>
      <w:r w:rsidRPr="006364C1">
        <w:rPr>
          <w:noProof/>
          <w:szCs w:val="24"/>
        </w:rPr>
        <w:t>(1), 113–124. https://doi.org/10.21154/sajiem.v2i1.48</w:t>
      </w:r>
    </w:p>
    <w:p w14:paraId="1401FABE" w14:textId="77777777" w:rsidR="006364C1" w:rsidRPr="006364C1" w:rsidRDefault="006364C1" w:rsidP="006364C1">
      <w:pPr>
        <w:widowControl w:val="0"/>
        <w:autoSpaceDE w:val="0"/>
        <w:autoSpaceDN w:val="0"/>
        <w:adjustRightInd w:val="0"/>
        <w:spacing w:after="40"/>
        <w:ind w:left="480" w:hanging="480"/>
        <w:jc w:val="both"/>
        <w:rPr>
          <w:noProof/>
          <w:szCs w:val="24"/>
        </w:rPr>
      </w:pPr>
      <w:r w:rsidRPr="006364C1">
        <w:rPr>
          <w:noProof/>
          <w:szCs w:val="24"/>
        </w:rPr>
        <w:t xml:space="preserve">Xuqun, Y. (2021). Establishing a Teacher Performance Evaluation System Geared to the Cultivation of Character: With a Reflection on New Public Management Theory. </w:t>
      </w:r>
      <w:r w:rsidRPr="006364C1">
        <w:rPr>
          <w:i/>
          <w:iCs/>
          <w:noProof/>
          <w:szCs w:val="24"/>
        </w:rPr>
        <w:t>Social Sciences in China</w:t>
      </w:r>
      <w:r w:rsidRPr="006364C1">
        <w:rPr>
          <w:noProof/>
          <w:szCs w:val="24"/>
        </w:rPr>
        <w:t xml:space="preserve">, </w:t>
      </w:r>
      <w:r w:rsidRPr="006364C1">
        <w:rPr>
          <w:i/>
          <w:iCs/>
          <w:noProof/>
          <w:szCs w:val="24"/>
        </w:rPr>
        <w:t>42</w:t>
      </w:r>
      <w:r w:rsidRPr="006364C1">
        <w:rPr>
          <w:noProof/>
          <w:szCs w:val="24"/>
        </w:rPr>
        <w:t>(1), 135–157. https://doi.org/10.1080/02529203.2021.1895501</w:t>
      </w:r>
    </w:p>
    <w:p w14:paraId="2AFCF7FB" w14:textId="77777777" w:rsidR="006364C1" w:rsidRPr="006364C1" w:rsidRDefault="006364C1" w:rsidP="006364C1">
      <w:pPr>
        <w:widowControl w:val="0"/>
        <w:autoSpaceDE w:val="0"/>
        <w:autoSpaceDN w:val="0"/>
        <w:adjustRightInd w:val="0"/>
        <w:spacing w:after="40"/>
        <w:ind w:left="480" w:hanging="480"/>
        <w:jc w:val="both"/>
        <w:rPr>
          <w:noProof/>
        </w:rPr>
      </w:pPr>
      <w:r w:rsidRPr="006364C1">
        <w:rPr>
          <w:noProof/>
          <w:szCs w:val="24"/>
        </w:rPr>
        <w:t xml:space="preserve">Yusuf, R., Hendawati, H., &amp; Wibowo, L. A. (2020). Pengaruh Konten Pemasaran Shoppe Terhadap Pembelian Pelanggan. </w:t>
      </w:r>
      <w:r w:rsidRPr="006364C1">
        <w:rPr>
          <w:i/>
          <w:iCs/>
          <w:noProof/>
          <w:szCs w:val="24"/>
        </w:rPr>
        <w:t>Jurnal Manajemen Pendidikan dan iImu Sosial</w:t>
      </w:r>
      <w:r w:rsidRPr="006364C1">
        <w:rPr>
          <w:noProof/>
          <w:szCs w:val="24"/>
        </w:rPr>
        <w:t xml:space="preserve">, </w:t>
      </w:r>
      <w:r w:rsidRPr="006364C1">
        <w:rPr>
          <w:i/>
          <w:iCs/>
          <w:noProof/>
          <w:szCs w:val="24"/>
        </w:rPr>
        <w:t>1</w:t>
      </w:r>
      <w:r w:rsidRPr="006364C1">
        <w:rPr>
          <w:noProof/>
          <w:szCs w:val="24"/>
        </w:rPr>
        <w:t>(2), 506–515. https://doi.org/10.38035/JMPIS</w:t>
      </w:r>
    </w:p>
    <w:p w14:paraId="68BEFEFD" w14:textId="7882F275" w:rsidR="009B7B3D" w:rsidRPr="009964D6" w:rsidRDefault="006364C1" w:rsidP="006364C1">
      <w:pPr>
        <w:pStyle w:val="9xxReferences"/>
      </w:pPr>
      <w:r>
        <w:fldChar w:fldCharType="end"/>
      </w:r>
    </w:p>
    <w:p w14:paraId="02490D33" w14:textId="77777777" w:rsidR="001940C7" w:rsidRPr="0069718E" w:rsidRDefault="001940C7" w:rsidP="005428D8">
      <w:pPr>
        <w:jc w:val="both"/>
        <w:rPr>
          <w:lang w:val="id-ID"/>
        </w:rPr>
      </w:pPr>
    </w:p>
    <w:sectPr w:rsidR="001940C7" w:rsidRPr="0069718E" w:rsidSect="00DD1F44">
      <w:headerReference w:type="even" r:id="rId10"/>
      <w:headerReference w:type="default" r:id="rId11"/>
      <w:footerReference w:type="even" r:id="rId12"/>
      <w:footerReference w:type="default" r:id="rId13"/>
      <w:footerReference w:type="first" r:id="rId14"/>
      <w:pgSz w:w="11907" w:h="16840" w:code="9"/>
      <w:pgMar w:top="1418" w:right="1418" w:bottom="1418" w:left="1418" w:header="720" w:footer="720" w:gutter="0"/>
      <w:pgNumType w:start="99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CCF4" w14:textId="77777777" w:rsidR="00690E4E" w:rsidRDefault="00690E4E" w:rsidP="00700A34">
      <w:r>
        <w:separator/>
      </w:r>
    </w:p>
  </w:endnote>
  <w:endnote w:type="continuationSeparator" w:id="0">
    <w:p w14:paraId="696835F8" w14:textId="77777777" w:rsidR="00690E4E" w:rsidRDefault="00690E4E"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B1F6" w14:textId="1A0CD757" w:rsidR="00EC3E81" w:rsidRPr="008A39E0" w:rsidRDefault="00000000" w:rsidP="00027E79">
    <w:pPr>
      <w:pStyle w:val="Footer"/>
      <w:ind w:firstLine="0"/>
      <w:rPr>
        <w:i/>
        <w:iCs/>
        <w:sz w:val="22"/>
        <w:szCs w:val="22"/>
        <w:lang w:val="id-ID"/>
      </w:rPr>
    </w:pPr>
    <w:sdt>
      <w:sdtPr>
        <w:rPr>
          <w:sz w:val="22"/>
          <w:szCs w:val="22"/>
        </w:rPr>
        <w:id w:val="451886922"/>
        <w:docPartObj>
          <w:docPartGallery w:val="Page Numbers (Bottom of Page)"/>
          <w:docPartUnique/>
        </w:docPartObj>
      </w:sdtPr>
      <w:sdtContent>
        <w:r w:rsidR="00EC3E81" w:rsidRPr="008A39E0">
          <w:rPr>
            <w:sz w:val="22"/>
            <w:szCs w:val="22"/>
          </w:rPr>
          <w:fldChar w:fldCharType="begin"/>
        </w:r>
        <w:r w:rsidR="00EC3E81" w:rsidRPr="008A39E0">
          <w:rPr>
            <w:sz w:val="22"/>
            <w:szCs w:val="22"/>
          </w:rPr>
          <w:instrText xml:space="preserve"> PAGE   \* MERGEFORMAT </w:instrText>
        </w:r>
        <w:r w:rsidR="00EC3E81" w:rsidRPr="008A39E0">
          <w:rPr>
            <w:sz w:val="22"/>
            <w:szCs w:val="22"/>
          </w:rPr>
          <w:fldChar w:fldCharType="separate"/>
        </w:r>
        <w:r w:rsidR="00ED6E3B">
          <w:rPr>
            <w:noProof/>
            <w:sz w:val="22"/>
            <w:szCs w:val="22"/>
          </w:rPr>
          <w:t>4</w:t>
        </w:r>
        <w:r w:rsidR="00EC3E81" w:rsidRPr="008A39E0">
          <w:rPr>
            <w:sz w:val="22"/>
            <w:szCs w:val="22"/>
          </w:rPr>
          <w:fldChar w:fldCharType="end"/>
        </w:r>
      </w:sdtContent>
    </w:sdt>
    <w:r w:rsidR="00EC3E81" w:rsidRPr="008A39E0">
      <w:rPr>
        <w:sz w:val="22"/>
        <w:szCs w:val="22"/>
        <w:lang w:val="id-ID"/>
      </w:rPr>
      <w:t xml:space="preserve">  </w:t>
    </w:r>
    <w:fldSimple w:instr=" STYLEREF  &quot;01. Nama Jurnal - Journal Name&quot;  \* MERGEFORMAT ">
      <w:r w:rsidR="00F76E24" w:rsidRPr="00F76E24">
        <w:rPr>
          <w:i/>
          <w:iCs/>
          <w:noProof/>
          <w:sz w:val="22"/>
          <w:szCs w:val="22"/>
          <w:lang w:val="id-ID"/>
        </w:rPr>
        <w:t xml:space="preserve">Munaddhomah: Jurnal Manajemen Pendidikan </w:t>
      </w:r>
      <w:r w:rsidR="00F76E24" w:rsidRPr="00F76E24">
        <w:rPr>
          <w:i/>
          <w:iCs/>
          <w:noProof/>
        </w:rPr>
        <w:t>Islam</w:t>
      </w:r>
    </w:fldSimple>
    <w:r w:rsidR="00EC3E81" w:rsidRPr="008A39E0">
      <w:rPr>
        <w:i/>
        <w:iCs/>
        <w:sz w:val="22"/>
        <w:szCs w:val="22"/>
        <w:lang w:val="id-ID"/>
      </w:rPr>
      <w:t xml:space="preserve">, </w:t>
    </w:r>
    <w:fldSimple w:instr=" STYLEREF  &quot;03. Volume&quot;  \* MERGEFORMAT ">
      <w:r w:rsidR="00F76E24" w:rsidRPr="00F76E24">
        <w:rPr>
          <w:i/>
          <w:iCs/>
          <w:noProof/>
          <w:sz w:val="22"/>
          <w:szCs w:val="22"/>
          <w:lang w:val="id-ID"/>
        </w:rPr>
        <w:t>Volume 4, Issue. 4, 2023, pp.</w:t>
      </w:r>
      <w:r w:rsidR="00F76E24">
        <w:rPr>
          <w:noProof/>
        </w:rPr>
        <w:t xml:space="preserve"> 990-1000</w:t>
      </w:r>
    </w:fldSimple>
  </w:p>
  <w:p w14:paraId="129B0928" w14:textId="77777777" w:rsidR="00EC3E81" w:rsidRPr="008A39E0" w:rsidRDefault="00EC3E81" w:rsidP="008B6546">
    <w:pPr>
      <w:pStyle w:val="Footer"/>
      <w:ind w:firstLine="0"/>
      <w:rPr>
        <w:sz w:val="22"/>
        <w:szCs w:val="22"/>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84844" w14:textId="77C511E1" w:rsidR="00EC3E81" w:rsidRPr="008A39E0" w:rsidRDefault="00000000" w:rsidP="008A39E0">
    <w:pPr>
      <w:pStyle w:val="Footer"/>
      <w:tabs>
        <w:tab w:val="clear" w:pos="9360"/>
        <w:tab w:val="right" w:pos="8647"/>
      </w:tabs>
      <w:jc w:val="right"/>
      <w:rPr>
        <w:sz w:val="22"/>
        <w:szCs w:val="22"/>
      </w:rPr>
    </w:pPr>
    <w:fldSimple w:instr=" STYLEREF  &quot;01. Nama Jurnal - Journal Name&quot;  \* MERGEFORMAT ">
      <w:r w:rsidR="00F76E24" w:rsidRPr="00F76E24">
        <w:rPr>
          <w:i/>
          <w:iCs/>
          <w:noProof/>
          <w:sz w:val="22"/>
          <w:szCs w:val="22"/>
          <w:lang w:val="id-ID"/>
        </w:rPr>
        <w:t xml:space="preserve">Munaddhomah: Jurnal Manajemen Pendidikan </w:t>
      </w:r>
      <w:r w:rsidR="00F76E24">
        <w:rPr>
          <w:noProof/>
        </w:rPr>
        <w:t>Islam</w:t>
      </w:r>
    </w:fldSimple>
    <w:r w:rsidR="00EC3E81" w:rsidRPr="008A39E0">
      <w:rPr>
        <w:i/>
        <w:iCs/>
        <w:sz w:val="22"/>
        <w:szCs w:val="22"/>
        <w:lang w:val="id-ID"/>
      </w:rPr>
      <w:t xml:space="preserve">, </w:t>
    </w:r>
    <w:fldSimple w:instr=" STYLEREF  &quot;03. Volume&quot;  \* MERGEFORMAT ">
      <w:r w:rsidR="00F76E24" w:rsidRPr="00F76E24">
        <w:rPr>
          <w:i/>
          <w:iCs/>
          <w:noProof/>
          <w:sz w:val="22"/>
          <w:szCs w:val="22"/>
          <w:lang w:val="id-ID"/>
        </w:rPr>
        <w:t>Volume 4, Issue. 4, 2023, pp.</w:t>
      </w:r>
      <w:r w:rsidR="00F76E24">
        <w:rPr>
          <w:noProof/>
        </w:rPr>
        <w:t xml:space="preserve"> 990-1000</w:t>
      </w:r>
    </w:fldSimple>
    <w:r w:rsidR="00EC3E81" w:rsidRPr="008A39E0">
      <w:rPr>
        <w:sz w:val="22"/>
        <w:szCs w:val="22"/>
        <w:lang w:val="id-ID"/>
      </w:rPr>
      <w:t xml:space="preserve">  </w:t>
    </w:r>
    <w:sdt>
      <w:sdtPr>
        <w:rPr>
          <w:sz w:val="22"/>
          <w:szCs w:val="22"/>
        </w:rPr>
        <w:id w:val="451886950"/>
        <w:docPartObj>
          <w:docPartGallery w:val="Page Numbers (Bottom of Page)"/>
          <w:docPartUnique/>
        </w:docPartObj>
      </w:sdtPr>
      <w:sdtContent>
        <w:r w:rsidR="00EC3E81" w:rsidRPr="008A39E0">
          <w:rPr>
            <w:sz w:val="22"/>
            <w:szCs w:val="22"/>
          </w:rPr>
          <w:fldChar w:fldCharType="begin"/>
        </w:r>
        <w:r w:rsidR="00EC3E81" w:rsidRPr="008A39E0">
          <w:rPr>
            <w:sz w:val="22"/>
            <w:szCs w:val="22"/>
          </w:rPr>
          <w:instrText xml:space="preserve"> PAGE   \* MERGEFORMAT </w:instrText>
        </w:r>
        <w:r w:rsidR="00EC3E81" w:rsidRPr="008A39E0">
          <w:rPr>
            <w:sz w:val="22"/>
            <w:szCs w:val="22"/>
          </w:rPr>
          <w:fldChar w:fldCharType="separate"/>
        </w:r>
        <w:r w:rsidR="00ED6E3B">
          <w:rPr>
            <w:noProof/>
            <w:sz w:val="22"/>
            <w:szCs w:val="22"/>
          </w:rPr>
          <w:t>3</w:t>
        </w:r>
        <w:r w:rsidR="00EC3E81" w:rsidRPr="008A39E0">
          <w:rPr>
            <w:sz w:val="22"/>
            <w:szCs w:val="22"/>
          </w:rPr>
          <w:fldChar w:fldCharType="end"/>
        </w:r>
      </w:sdtContent>
    </w:sdt>
  </w:p>
  <w:p w14:paraId="1BD96605" w14:textId="77777777" w:rsidR="00EC3E81" w:rsidRPr="008A39E0" w:rsidRDefault="00EC3E81" w:rsidP="006852E9">
    <w:pPr>
      <w:pStyle w:val="Footer"/>
      <w:tabs>
        <w:tab w:val="clear" w:pos="4680"/>
        <w:tab w:val="clear" w:pos="9360"/>
        <w:tab w:val="left" w:pos="0"/>
        <w:tab w:val="center" w:pos="3402"/>
        <w:tab w:val="right" w:pos="9072"/>
      </w:tabs>
      <w:ind w:firstLine="0"/>
      <w:jc w:val="both"/>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C5A3" w14:textId="77777777" w:rsidR="00EC3E81" w:rsidRPr="00987474" w:rsidRDefault="00EC3E81" w:rsidP="00987474">
    <w:pPr>
      <w:ind w:firstLine="0"/>
      <w:jc w:val="center"/>
      <w:rPr>
        <w:rFonts w:cs="Arial"/>
        <w:sz w:val="22"/>
        <w:lang w:eastAsia="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B0A3" w14:textId="77777777" w:rsidR="00690E4E" w:rsidRDefault="00690E4E" w:rsidP="00700A34">
      <w:r>
        <w:separator/>
      </w:r>
    </w:p>
  </w:footnote>
  <w:footnote w:type="continuationSeparator" w:id="0">
    <w:p w14:paraId="0B09327E" w14:textId="77777777" w:rsidR="00690E4E" w:rsidRDefault="00690E4E"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AE57" w14:textId="19B9B8C1" w:rsidR="00EC3E81" w:rsidRPr="00AD4D4B" w:rsidRDefault="00000000" w:rsidP="008F363A">
    <w:pPr>
      <w:pStyle w:val="HeaderKiri"/>
    </w:pPr>
    <w:fldSimple w:instr=" STYLEREF  &quot;2. Penulis - Author&quot;  \* MERGEFORMAT ">
      <w:r w:rsidR="00F76E24">
        <w:t>Friska Septriyanda Patraini*1, RR Erlina*2, Nova Mardiana3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1EE78" w14:textId="1F865570" w:rsidR="00EC3E81" w:rsidRDefault="00EC3E81" w:rsidP="008F363A">
    <w:pPr>
      <w:pStyle w:val="Headerkanan"/>
    </w:pPr>
    <w:r w:rsidRPr="00047629">
      <w:t xml:space="preserve"> </w:t>
    </w:r>
    <w:fldSimple w:instr=" STYLEREF  &quot;1. Judul - Title&quot;  \* MERGEFORMAT ">
      <w:r w:rsidR="00F76E24">
        <w:t>Commitment as a Mediating Variable: Is There an Influence of Work Experience and Teacher Performance Motivation?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F78"/>
    <w:multiLevelType w:val="hybridMultilevel"/>
    <w:tmpl w:val="A89E512A"/>
    <w:lvl w:ilvl="0" w:tplc="636A2E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F1B6588"/>
    <w:multiLevelType w:val="hybridMultilevel"/>
    <w:tmpl w:val="DE8EA808"/>
    <w:lvl w:ilvl="0" w:tplc="8464838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E317502"/>
    <w:multiLevelType w:val="hybridMultilevel"/>
    <w:tmpl w:val="94B8E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7" w15:restartNumberingAfterBreak="0">
    <w:nsid w:val="7FED695A"/>
    <w:multiLevelType w:val="hybridMultilevel"/>
    <w:tmpl w:val="7A103930"/>
    <w:lvl w:ilvl="0" w:tplc="4BB60A88">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07706086">
    <w:abstractNumId w:val="4"/>
  </w:num>
  <w:num w:numId="2" w16cid:durableId="927882492">
    <w:abstractNumId w:val="2"/>
  </w:num>
  <w:num w:numId="3" w16cid:durableId="25567940">
    <w:abstractNumId w:val="6"/>
  </w:num>
  <w:num w:numId="4" w16cid:durableId="1291982129">
    <w:abstractNumId w:val="5"/>
  </w:num>
  <w:num w:numId="5" w16cid:durableId="938030518">
    <w:abstractNumId w:val="1"/>
  </w:num>
  <w:num w:numId="6" w16cid:durableId="55276945">
    <w:abstractNumId w:val="0"/>
  </w:num>
  <w:num w:numId="7" w16cid:durableId="932856473">
    <w:abstractNumId w:val="3"/>
  </w:num>
  <w:num w:numId="8" w16cid:durableId="168732188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3MTQ1NTa2NLA0MzVS0lEKTi0uzszPAykwrQUA+TShzywAAAA="/>
  </w:docVars>
  <w:rsids>
    <w:rsidRoot w:val="00700A34"/>
    <w:rsid w:val="00000EBE"/>
    <w:rsid w:val="00004F8F"/>
    <w:rsid w:val="0000532F"/>
    <w:rsid w:val="00006AFE"/>
    <w:rsid w:val="00023E91"/>
    <w:rsid w:val="00027E79"/>
    <w:rsid w:val="0003059C"/>
    <w:rsid w:val="0003186E"/>
    <w:rsid w:val="000320C2"/>
    <w:rsid w:val="000323C9"/>
    <w:rsid w:val="00032A0D"/>
    <w:rsid w:val="000333C1"/>
    <w:rsid w:val="000343E5"/>
    <w:rsid w:val="0003599A"/>
    <w:rsid w:val="00035CB2"/>
    <w:rsid w:val="00037408"/>
    <w:rsid w:val="00037FA6"/>
    <w:rsid w:val="000411EE"/>
    <w:rsid w:val="00042281"/>
    <w:rsid w:val="00042E0E"/>
    <w:rsid w:val="000439EB"/>
    <w:rsid w:val="00044564"/>
    <w:rsid w:val="000446CD"/>
    <w:rsid w:val="00047629"/>
    <w:rsid w:val="00047730"/>
    <w:rsid w:val="00052F7B"/>
    <w:rsid w:val="0005493C"/>
    <w:rsid w:val="00054984"/>
    <w:rsid w:val="00057647"/>
    <w:rsid w:val="000608D3"/>
    <w:rsid w:val="000615E6"/>
    <w:rsid w:val="000635F2"/>
    <w:rsid w:val="00064A1D"/>
    <w:rsid w:val="00070D21"/>
    <w:rsid w:val="00075715"/>
    <w:rsid w:val="0007716B"/>
    <w:rsid w:val="00081BFC"/>
    <w:rsid w:val="00087FF1"/>
    <w:rsid w:val="00090303"/>
    <w:rsid w:val="00096571"/>
    <w:rsid w:val="000A19C8"/>
    <w:rsid w:val="000A3C6A"/>
    <w:rsid w:val="000B06FE"/>
    <w:rsid w:val="000B0E23"/>
    <w:rsid w:val="000B1B45"/>
    <w:rsid w:val="000B31C7"/>
    <w:rsid w:val="000B45DB"/>
    <w:rsid w:val="000C180E"/>
    <w:rsid w:val="000C395F"/>
    <w:rsid w:val="000C54DA"/>
    <w:rsid w:val="000C7965"/>
    <w:rsid w:val="000D00AA"/>
    <w:rsid w:val="000D282A"/>
    <w:rsid w:val="000D53B7"/>
    <w:rsid w:val="000E0739"/>
    <w:rsid w:val="000E5A94"/>
    <w:rsid w:val="000F2F90"/>
    <w:rsid w:val="000F5153"/>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408"/>
    <w:rsid w:val="0014182A"/>
    <w:rsid w:val="00146FBE"/>
    <w:rsid w:val="00147592"/>
    <w:rsid w:val="00151317"/>
    <w:rsid w:val="00151BF5"/>
    <w:rsid w:val="00152E0D"/>
    <w:rsid w:val="001545A0"/>
    <w:rsid w:val="0015606C"/>
    <w:rsid w:val="001578BA"/>
    <w:rsid w:val="00161011"/>
    <w:rsid w:val="001632DD"/>
    <w:rsid w:val="0017087F"/>
    <w:rsid w:val="00172E34"/>
    <w:rsid w:val="0017599F"/>
    <w:rsid w:val="00181F11"/>
    <w:rsid w:val="001834F5"/>
    <w:rsid w:val="0018542D"/>
    <w:rsid w:val="0019107E"/>
    <w:rsid w:val="00193BF1"/>
    <w:rsid w:val="001940C7"/>
    <w:rsid w:val="001955BE"/>
    <w:rsid w:val="001A36AF"/>
    <w:rsid w:val="001A3B3F"/>
    <w:rsid w:val="001A443E"/>
    <w:rsid w:val="001A6AC7"/>
    <w:rsid w:val="001B3ED2"/>
    <w:rsid w:val="001B4C3A"/>
    <w:rsid w:val="001B5114"/>
    <w:rsid w:val="001B52AB"/>
    <w:rsid w:val="001C00B2"/>
    <w:rsid w:val="001C167B"/>
    <w:rsid w:val="001C2016"/>
    <w:rsid w:val="001D379A"/>
    <w:rsid w:val="001D3C2D"/>
    <w:rsid w:val="001D6112"/>
    <w:rsid w:val="001E0A24"/>
    <w:rsid w:val="001E1058"/>
    <w:rsid w:val="001E59FA"/>
    <w:rsid w:val="001E77CE"/>
    <w:rsid w:val="001E7F59"/>
    <w:rsid w:val="001F3481"/>
    <w:rsid w:val="001F4083"/>
    <w:rsid w:val="001F6EDE"/>
    <w:rsid w:val="001F77F0"/>
    <w:rsid w:val="001F7EAD"/>
    <w:rsid w:val="002061E2"/>
    <w:rsid w:val="00210A30"/>
    <w:rsid w:val="00210C56"/>
    <w:rsid w:val="00211822"/>
    <w:rsid w:val="00216A35"/>
    <w:rsid w:val="00220998"/>
    <w:rsid w:val="002214C1"/>
    <w:rsid w:val="0022290E"/>
    <w:rsid w:val="00225FA1"/>
    <w:rsid w:val="0022731B"/>
    <w:rsid w:val="00227482"/>
    <w:rsid w:val="00236408"/>
    <w:rsid w:val="00242430"/>
    <w:rsid w:val="00242C69"/>
    <w:rsid w:val="002454A4"/>
    <w:rsid w:val="00246249"/>
    <w:rsid w:val="002507D5"/>
    <w:rsid w:val="00252391"/>
    <w:rsid w:val="0025654D"/>
    <w:rsid w:val="0025659D"/>
    <w:rsid w:val="00257BA8"/>
    <w:rsid w:val="00257D13"/>
    <w:rsid w:val="00267AED"/>
    <w:rsid w:val="0027089B"/>
    <w:rsid w:val="00271562"/>
    <w:rsid w:val="00272B95"/>
    <w:rsid w:val="00283345"/>
    <w:rsid w:val="002842D4"/>
    <w:rsid w:val="002863BA"/>
    <w:rsid w:val="00287643"/>
    <w:rsid w:val="002914B5"/>
    <w:rsid w:val="00291AAC"/>
    <w:rsid w:val="00292AA7"/>
    <w:rsid w:val="002940B7"/>
    <w:rsid w:val="00294A62"/>
    <w:rsid w:val="00294B69"/>
    <w:rsid w:val="002957A4"/>
    <w:rsid w:val="00297064"/>
    <w:rsid w:val="00297565"/>
    <w:rsid w:val="002A0774"/>
    <w:rsid w:val="002A75EE"/>
    <w:rsid w:val="002B1366"/>
    <w:rsid w:val="002B174A"/>
    <w:rsid w:val="002B28E9"/>
    <w:rsid w:val="002B73CA"/>
    <w:rsid w:val="002B7B6A"/>
    <w:rsid w:val="002C21EC"/>
    <w:rsid w:val="002D0F8E"/>
    <w:rsid w:val="002D1910"/>
    <w:rsid w:val="002D231B"/>
    <w:rsid w:val="002D26CD"/>
    <w:rsid w:val="002D403B"/>
    <w:rsid w:val="002D45CE"/>
    <w:rsid w:val="002D5001"/>
    <w:rsid w:val="002E24A6"/>
    <w:rsid w:val="002E2F2C"/>
    <w:rsid w:val="002F3C3B"/>
    <w:rsid w:val="002F4E45"/>
    <w:rsid w:val="002F5774"/>
    <w:rsid w:val="002F6C1F"/>
    <w:rsid w:val="0030200F"/>
    <w:rsid w:val="00303D96"/>
    <w:rsid w:val="00304B75"/>
    <w:rsid w:val="00306FD5"/>
    <w:rsid w:val="00307285"/>
    <w:rsid w:val="00307530"/>
    <w:rsid w:val="00311098"/>
    <w:rsid w:val="00312B7D"/>
    <w:rsid w:val="00314506"/>
    <w:rsid w:val="003204DA"/>
    <w:rsid w:val="00321C51"/>
    <w:rsid w:val="0032259C"/>
    <w:rsid w:val="00322F11"/>
    <w:rsid w:val="003242BF"/>
    <w:rsid w:val="003246A0"/>
    <w:rsid w:val="00324CF5"/>
    <w:rsid w:val="0032519F"/>
    <w:rsid w:val="003272C8"/>
    <w:rsid w:val="0033034A"/>
    <w:rsid w:val="00332029"/>
    <w:rsid w:val="00337071"/>
    <w:rsid w:val="00340E6A"/>
    <w:rsid w:val="00340EE2"/>
    <w:rsid w:val="00341830"/>
    <w:rsid w:val="0034411C"/>
    <w:rsid w:val="003455B3"/>
    <w:rsid w:val="00345B8F"/>
    <w:rsid w:val="003470FF"/>
    <w:rsid w:val="00347332"/>
    <w:rsid w:val="0035032A"/>
    <w:rsid w:val="003522EF"/>
    <w:rsid w:val="0035730F"/>
    <w:rsid w:val="003603BF"/>
    <w:rsid w:val="003623E4"/>
    <w:rsid w:val="00365753"/>
    <w:rsid w:val="003668A2"/>
    <w:rsid w:val="003717C9"/>
    <w:rsid w:val="00372EB8"/>
    <w:rsid w:val="00373C54"/>
    <w:rsid w:val="00380956"/>
    <w:rsid w:val="003832F9"/>
    <w:rsid w:val="00383A23"/>
    <w:rsid w:val="003841DB"/>
    <w:rsid w:val="00384BBC"/>
    <w:rsid w:val="00385810"/>
    <w:rsid w:val="00386B54"/>
    <w:rsid w:val="00387AFB"/>
    <w:rsid w:val="00391967"/>
    <w:rsid w:val="0039209F"/>
    <w:rsid w:val="003950A9"/>
    <w:rsid w:val="0039565C"/>
    <w:rsid w:val="003960F2"/>
    <w:rsid w:val="00396CD6"/>
    <w:rsid w:val="003970A3"/>
    <w:rsid w:val="003972FC"/>
    <w:rsid w:val="00397EAE"/>
    <w:rsid w:val="003A2DB0"/>
    <w:rsid w:val="003A37A9"/>
    <w:rsid w:val="003A463D"/>
    <w:rsid w:val="003A59B8"/>
    <w:rsid w:val="003A69DD"/>
    <w:rsid w:val="003B1B40"/>
    <w:rsid w:val="003B2FD4"/>
    <w:rsid w:val="003B3223"/>
    <w:rsid w:val="003B3F03"/>
    <w:rsid w:val="003B5E8B"/>
    <w:rsid w:val="003C16A5"/>
    <w:rsid w:val="003C182F"/>
    <w:rsid w:val="003C50E4"/>
    <w:rsid w:val="003C60BC"/>
    <w:rsid w:val="003D109B"/>
    <w:rsid w:val="003D602A"/>
    <w:rsid w:val="003D6C2B"/>
    <w:rsid w:val="003E128C"/>
    <w:rsid w:val="003E350B"/>
    <w:rsid w:val="003E677C"/>
    <w:rsid w:val="003F2A8B"/>
    <w:rsid w:val="003F3DAB"/>
    <w:rsid w:val="003F6577"/>
    <w:rsid w:val="0040093D"/>
    <w:rsid w:val="00402F21"/>
    <w:rsid w:val="004045BF"/>
    <w:rsid w:val="0040566A"/>
    <w:rsid w:val="00406D43"/>
    <w:rsid w:val="00410527"/>
    <w:rsid w:val="00410A56"/>
    <w:rsid w:val="00411481"/>
    <w:rsid w:val="00420100"/>
    <w:rsid w:val="00420180"/>
    <w:rsid w:val="00421269"/>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45603"/>
    <w:rsid w:val="00450CF3"/>
    <w:rsid w:val="00451AF7"/>
    <w:rsid w:val="00451ECC"/>
    <w:rsid w:val="0045282C"/>
    <w:rsid w:val="00452983"/>
    <w:rsid w:val="00453A25"/>
    <w:rsid w:val="00454353"/>
    <w:rsid w:val="00455B99"/>
    <w:rsid w:val="00457A98"/>
    <w:rsid w:val="004606AA"/>
    <w:rsid w:val="00460A83"/>
    <w:rsid w:val="00462268"/>
    <w:rsid w:val="0046253A"/>
    <w:rsid w:val="00462655"/>
    <w:rsid w:val="0046475F"/>
    <w:rsid w:val="004652B1"/>
    <w:rsid w:val="00466590"/>
    <w:rsid w:val="00475351"/>
    <w:rsid w:val="004776D7"/>
    <w:rsid w:val="00481E87"/>
    <w:rsid w:val="004844D5"/>
    <w:rsid w:val="004910E7"/>
    <w:rsid w:val="004912B3"/>
    <w:rsid w:val="00493EF9"/>
    <w:rsid w:val="00494D03"/>
    <w:rsid w:val="0049659E"/>
    <w:rsid w:val="004973E0"/>
    <w:rsid w:val="004A0E13"/>
    <w:rsid w:val="004A104D"/>
    <w:rsid w:val="004A2C47"/>
    <w:rsid w:val="004A312C"/>
    <w:rsid w:val="004A4680"/>
    <w:rsid w:val="004A4EA3"/>
    <w:rsid w:val="004A704B"/>
    <w:rsid w:val="004B01D7"/>
    <w:rsid w:val="004B3AE8"/>
    <w:rsid w:val="004B693E"/>
    <w:rsid w:val="004C14EC"/>
    <w:rsid w:val="004C1CE7"/>
    <w:rsid w:val="004C47A8"/>
    <w:rsid w:val="004C4998"/>
    <w:rsid w:val="004C4B57"/>
    <w:rsid w:val="004C4DCA"/>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0303"/>
    <w:rsid w:val="0050251A"/>
    <w:rsid w:val="00503945"/>
    <w:rsid w:val="005119A3"/>
    <w:rsid w:val="005166BA"/>
    <w:rsid w:val="00516E8E"/>
    <w:rsid w:val="00517E82"/>
    <w:rsid w:val="00521A95"/>
    <w:rsid w:val="0052397D"/>
    <w:rsid w:val="005259F7"/>
    <w:rsid w:val="00530FEA"/>
    <w:rsid w:val="00531083"/>
    <w:rsid w:val="0053294B"/>
    <w:rsid w:val="0053469E"/>
    <w:rsid w:val="0053470B"/>
    <w:rsid w:val="00534CC7"/>
    <w:rsid w:val="00534D2D"/>
    <w:rsid w:val="00535C86"/>
    <w:rsid w:val="00537284"/>
    <w:rsid w:val="005375D1"/>
    <w:rsid w:val="005428D8"/>
    <w:rsid w:val="0054547B"/>
    <w:rsid w:val="005460EE"/>
    <w:rsid w:val="00550079"/>
    <w:rsid w:val="00550644"/>
    <w:rsid w:val="00554262"/>
    <w:rsid w:val="0056088D"/>
    <w:rsid w:val="00560DC7"/>
    <w:rsid w:val="00564545"/>
    <w:rsid w:val="00571E33"/>
    <w:rsid w:val="0057361D"/>
    <w:rsid w:val="00576D1F"/>
    <w:rsid w:val="00576FF5"/>
    <w:rsid w:val="00580685"/>
    <w:rsid w:val="0058618E"/>
    <w:rsid w:val="005863F8"/>
    <w:rsid w:val="00590597"/>
    <w:rsid w:val="00592065"/>
    <w:rsid w:val="0059491E"/>
    <w:rsid w:val="005A09A5"/>
    <w:rsid w:val="005A0DC8"/>
    <w:rsid w:val="005A2FF5"/>
    <w:rsid w:val="005A3BE4"/>
    <w:rsid w:val="005A5ACC"/>
    <w:rsid w:val="005A7CAA"/>
    <w:rsid w:val="005A7EED"/>
    <w:rsid w:val="005B0099"/>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2B2C"/>
    <w:rsid w:val="006063AA"/>
    <w:rsid w:val="00607389"/>
    <w:rsid w:val="006100CB"/>
    <w:rsid w:val="006105AF"/>
    <w:rsid w:val="0061155E"/>
    <w:rsid w:val="00612E5E"/>
    <w:rsid w:val="006140A3"/>
    <w:rsid w:val="006143FA"/>
    <w:rsid w:val="00615FB4"/>
    <w:rsid w:val="00616B06"/>
    <w:rsid w:val="006173D2"/>
    <w:rsid w:val="006208AA"/>
    <w:rsid w:val="00620D95"/>
    <w:rsid w:val="00620EF7"/>
    <w:rsid w:val="006244FF"/>
    <w:rsid w:val="00625E6A"/>
    <w:rsid w:val="00627207"/>
    <w:rsid w:val="00630B81"/>
    <w:rsid w:val="0063307B"/>
    <w:rsid w:val="006358CB"/>
    <w:rsid w:val="006364C1"/>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14A"/>
    <w:rsid w:val="00670673"/>
    <w:rsid w:val="00670AB3"/>
    <w:rsid w:val="00681C9B"/>
    <w:rsid w:val="00682346"/>
    <w:rsid w:val="00682F95"/>
    <w:rsid w:val="006834DE"/>
    <w:rsid w:val="006852E9"/>
    <w:rsid w:val="006877BC"/>
    <w:rsid w:val="00690742"/>
    <w:rsid w:val="00690E4E"/>
    <w:rsid w:val="00692EDE"/>
    <w:rsid w:val="0069718E"/>
    <w:rsid w:val="006A09E9"/>
    <w:rsid w:val="006A4C0C"/>
    <w:rsid w:val="006A660F"/>
    <w:rsid w:val="006B03B8"/>
    <w:rsid w:val="006B1072"/>
    <w:rsid w:val="006C60AD"/>
    <w:rsid w:val="006D340F"/>
    <w:rsid w:val="006D6E28"/>
    <w:rsid w:val="006E0846"/>
    <w:rsid w:val="006E1635"/>
    <w:rsid w:val="006E3266"/>
    <w:rsid w:val="006E3C30"/>
    <w:rsid w:val="006E3F37"/>
    <w:rsid w:val="006E3FE9"/>
    <w:rsid w:val="006E4F6A"/>
    <w:rsid w:val="006F006A"/>
    <w:rsid w:val="006F0A9F"/>
    <w:rsid w:val="006F0CB9"/>
    <w:rsid w:val="006F1C2E"/>
    <w:rsid w:val="006F4CC6"/>
    <w:rsid w:val="006F507D"/>
    <w:rsid w:val="006F6C3C"/>
    <w:rsid w:val="006F6F90"/>
    <w:rsid w:val="00700A34"/>
    <w:rsid w:val="007024BA"/>
    <w:rsid w:val="00703E8D"/>
    <w:rsid w:val="0070407F"/>
    <w:rsid w:val="00704ABF"/>
    <w:rsid w:val="00704C8D"/>
    <w:rsid w:val="007050EF"/>
    <w:rsid w:val="0070567C"/>
    <w:rsid w:val="0070591C"/>
    <w:rsid w:val="00706EBC"/>
    <w:rsid w:val="007118D0"/>
    <w:rsid w:val="00712B7E"/>
    <w:rsid w:val="0071409C"/>
    <w:rsid w:val="00714DD0"/>
    <w:rsid w:val="00715935"/>
    <w:rsid w:val="007165AF"/>
    <w:rsid w:val="007202E3"/>
    <w:rsid w:val="00724F26"/>
    <w:rsid w:val="00725222"/>
    <w:rsid w:val="007305D6"/>
    <w:rsid w:val="007333F6"/>
    <w:rsid w:val="00733430"/>
    <w:rsid w:val="007407D1"/>
    <w:rsid w:val="007408DA"/>
    <w:rsid w:val="00740CB6"/>
    <w:rsid w:val="007417DB"/>
    <w:rsid w:val="00744BD5"/>
    <w:rsid w:val="00745F7F"/>
    <w:rsid w:val="00750AE5"/>
    <w:rsid w:val="00752375"/>
    <w:rsid w:val="00754978"/>
    <w:rsid w:val="00754CA2"/>
    <w:rsid w:val="00755D19"/>
    <w:rsid w:val="007571D4"/>
    <w:rsid w:val="007575CA"/>
    <w:rsid w:val="007607A3"/>
    <w:rsid w:val="00760BF6"/>
    <w:rsid w:val="0076120C"/>
    <w:rsid w:val="0076526B"/>
    <w:rsid w:val="00765F0B"/>
    <w:rsid w:val="007676AA"/>
    <w:rsid w:val="007716C5"/>
    <w:rsid w:val="007746DC"/>
    <w:rsid w:val="00774AA5"/>
    <w:rsid w:val="007820F7"/>
    <w:rsid w:val="0078404D"/>
    <w:rsid w:val="00784C03"/>
    <w:rsid w:val="00785316"/>
    <w:rsid w:val="00787758"/>
    <w:rsid w:val="00790B4E"/>
    <w:rsid w:val="00792453"/>
    <w:rsid w:val="00792B23"/>
    <w:rsid w:val="00792B70"/>
    <w:rsid w:val="0079492D"/>
    <w:rsid w:val="007A00A7"/>
    <w:rsid w:val="007A23E8"/>
    <w:rsid w:val="007A49DE"/>
    <w:rsid w:val="007A50C9"/>
    <w:rsid w:val="007A5730"/>
    <w:rsid w:val="007A6C00"/>
    <w:rsid w:val="007A7395"/>
    <w:rsid w:val="007B2D61"/>
    <w:rsid w:val="007B47CC"/>
    <w:rsid w:val="007B5DDC"/>
    <w:rsid w:val="007B616B"/>
    <w:rsid w:val="007B6F54"/>
    <w:rsid w:val="007B7E97"/>
    <w:rsid w:val="007C3C4B"/>
    <w:rsid w:val="007D0B7A"/>
    <w:rsid w:val="007D1863"/>
    <w:rsid w:val="007D69E4"/>
    <w:rsid w:val="007E0850"/>
    <w:rsid w:val="007E0878"/>
    <w:rsid w:val="007E0CBC"/>
    <w:rsid w:val="007E11D7"/>
    <w:rsid w:val="007E12C2"/>
    <w:rsid w:val="007E1BBE"/>
    <w:rsid w:val="007E1F09"/>
    <w:rsid w:val="007E5B8D"/>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475"/>
    <w:rsid w:val="00823F9B"/>
    <w:rsid w:val="00824ACC"/>
    <w:rsid w:val="00826F48"/>
    <w:rsid w:val="00827180"/>
    <w:rsid w:val="008329CC"/>
    <w:rsid w:val="0083451F"/>
    <w:rsid w:val="00834D12"/>
    <w:rsid w:val="008353D4"/>
    <w:rsid w:val="00835D8F"/>
    <w:rsid w:val="00843BF0"/>
    <w:rsid w:val="00845EB5"/>
    <w:rsid w:val="0084689C"/>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3E7B"/>
    <w:rsid w:val="008749E8"/>
    <w:rsid w:val="00874F4E"/>
    <w:rsid w:val="00876D2C"/>
    <w:rsid w:val="008778A5"/>
    <w:rsid w:val="00882511"/>
    <w:rsid w:val="008831CA"/>
    <w:rsid w:val="00883801"/>
    <w:rsid w:val="008866B3"/>
    <w:rsid w:val="00887760"/>
    <w:rsid w:val="00891788"/>
    <w:rsid w:val="00891F6A"/>
    <w:rsid w:val="00892346"/>
    <w:rsid w:val="00893928"/>
    <w:rsid w:val="008961DD"/>
    <w:rsid w:val="00896EC2"/>
    <w:rsid w:val="008A0B0E"/>
    <w:rsid w:val="008A0EBE"/>
    <w:rsid w:val="008A22E1"/>
    <w:rsid w:val="008A39E0"/>
    <w:rsid w:val="008A3AF8"/>
    <w:rsid w:val="008B1459"/>
    <w:rsid w:val="008B1485"/>
    <w:rsid w:val="008B1957"/>
    <w:rsid w:val="008B3DF1"/>
    <w:rsid w:val="008B6546"/>
    <w:rsid w:val="008B6DB4"/>
    <w:rsid w:val="008C0AA8"/>
    <w:rsid w:val="008C6338"/>
    <w:rsid w:val="008D2477"/>
    <w:rsid w:val="008D4808"/>
    <w:rsid w:val="008D4FA3"/>
    <w:rsid w:val="008D583E"/>
    <w:rsid w:val="008D5C3B"/>
    <w:rsid w:val="008D68D8"/>
    <w:rsid w:val="008D7EBC"/>
    <w:rsid w:val="008E1209"/>
    <w:rsid w:val="008E1541"/>
    <w:rsid w:val="008E3BB4"/>
    <w:rsid w:val="008E4CAA"/>
    <w:rsid w:val="008E57B6"/>
    <w:rsid w:val="008E7F7F"/>
    <w:rsid w:val="008F363A"/>
    <w:rsid w:val="008F7323"/>
    <w:rsid w:val="008F7922"/>
    <w:rsid w:val="009004B8"/>
    <w:rsid w:val="00903CD0"/>
    <w:rsid w:val="0090438D"/>
    <w:rsid w:val="00905C6B"/>
    <w:rsid w:val="00906DF7"/>
    <w:rsid w:val="00906EA8"/>
    <w:rsid w:val="00907DDC"/>
    <w:rsid w:val="009105C4"/>
    <w:rsid w:val="00910ADA"/>
    <w:rsid w:val="00924326"/>
    <w:rsid w:val="0092558E"/>
    <w:rsid w:val="00925CE8"/>
    <w:rsid w:val="00926349"/>
    <w:rsid w:val="0094096C"/>
    <w:rsid w:val="0094527A"/>
    <w:rsid w:val="00947BCB"/>
    <w:rsid w:val="0095149D"/>
    <w:rsid w:val="0095196A"/>
    <w:rsid w:val="0095196F"/>
    <w:rsid w:val="00952541"/>
    <w:rsid w:val="009542DB"/>
    <w:rsid w:val="009611EE"/>
    <w:rsid w:val="00961770"/>
    <w:rsid w:val="00964090"/>
    <w:rsid w:val="0096554C"/>
    <w:rsid w:val="009662B2"/>
    <w:rsid w:val="00971EA0"/>
    <w:rsid w:val="009740C0"/>
    <w:rsid w:val="009745CF"/>
    <w:rsid w:val="00974B4F"/>
    <w:rsid w:val="00974C95"/>
    <w:rsid w:val="009752B7"/>
    <w:rsid w:val="00977397"/>
    <w:rsid w:val="009855B7"/>
    <w:rsid w:val="00986E9E"/>
    <w:rsid w:val="00987474"/>
    <w:rsid w:val="009917BC"/>
    <w:rsid w:val="0099634E"/>
    <w:rsid w:val="009964D6"/>
    <w:rsid w:val="00997E14"/>
    <w:rsid w:val="009A23F7"/>
    <w:rsid w:val="009A2885"/>
    <w:rsid w:val="009A38B4"/>
    <w:rsid w:val="009A5593"/>
    <w:rsid w:val="009B0B65"/>
    <w:rsid w:val="009B0C90"/>
    <w:rsid w:val="009B4E37"/>
    <w:rsid w:val="009B7B3D"/>
    <w:rsid w:val="009C0A8C"/>
    <w:rsid w:val="009C119F"/>
    <w:rsid w:val="009C2623"/>
    <w:rsid w:val="009C558F"/>
    <w:rsid w:val="009D0E64"/>
    <w:rsid w:val="009D1361"/>
    <w:rsid w:val="009D2883"/>
    <w:rsid w:val="009D4143"/>
    <w:rsid w:val="009D6F75"/>
    <w:rsid w:val="009E143A"/>
    <w:rsid w:val="009E4E65"/>
    <w:rsid w:val="009E51BB"/>
    <w:rsid w:val="009E6187"/>
    <w:rsid w:val="009E71F7"/>
    <w:rsid w:val="009E769F"/>
    <w:rsid w:val="009F12BD"/>
    <w:rsid w:val="009F28D3"/>
    <w:rsid w:val="00A03943"/>
    <w:rsid w:val="00A03C1F"/>
    <w:rsid w:val="00A04FE3"/>
    <w:rsid w:val="00A06076"/>
    <w:rsid w:val="00A06079"/>
    <w:rsid w:val="00A069C0"/>
    <w:rsid w:val="00A15664"/>
    <w:rsid w:val="00A16A47"/>
    <w:rsid w:val="00A21EB8"/>
    <w:rsid w:val="00A236CE"/>
    <w:rsid w:val="00A240F2"/>
    <w:rsid w:val="00A24D8F"/>
    <w:rsid w:val="00A253F3"/>
    <w:rsid w:val="00A2732A"/>
    <w:rsid w:val="00A2771E"/>
    <w:rsid w:val="00A3149C"/>
    <w:rsid w:val="00A315EF"/>
    <w:rsid w:val="00A33655"/>
    <w:rsid w:val="00A33838"/>
    <w:rsid w:val="00A34C96"/>
    <w:rsid w:val="00A355B6"/>
    <w:rsid w:val="00A404B6"/>
    <w:rsid w:val="00A417E1"/>
    <w:rsid w:val="00A42911"/>
    <w:rsid w:val="00A44392"/>
    <w:rsid w:val="00A535D1"/>
    <w:rsid w:val="00A53A4D"/>
    <w:rsid w:val="00A55B84"/>
    <w:rsid w:val="00A56607"/>
    <w:rsid w:val="00A64DF4"/>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0E5"/>
    <w:rsid w:val="00B01315"/>
    <w:rsid w:val="00B01D14"/>
    <w:rsid w:val="00B02DD2"/>
    <w:rsid w:val="00B0318C"/>
    <w:rsid w:val="00B104D1"/>
    <w:rsid w:val="00B1087D"/>
    <w:rsid w:val="00B10FA8"/>
    <w:rsid w:val="00B11F71"/>
    <w:rsid w:val="00B12B38"/>
    <w:rsid w:val="00B130AB"/>
    <w:rsid w:val="00B20624"/>
    <w:rsid w:val="00B20E47"/>
    <w:rsid w:val="00B23FC8"/>
    <w:rsid w:val="00B24778"/>
    <w:rsid w:val="00B26404"/>
    <w:rsid w:val="00B26DD8"/>
    <w:rsid w:val="00B3257C"/>
    <w:rsid w:val="00B3273F"/>
    <w:rsid w:val="00B35B64"/>
    <w:rsid w:val="00B35F5C"/>
    <w:rsid w:val="00B36FE0"/>
    <w:rsid w:val="00B37667"/>
    <w:rsid w:val="00B37E71"/>
    <w:rsid w:val="00B40B51"/>
    <w:rsid w:val="00B432A5"/>
    <w:rsid w:val="00B43E44"/>
    <w:rsid w:val="00B46E3A"/>
    <w:rsid w:val="00B5093B"/>
    <w:rsid w:val="00B57C97"/>
    <w:rsid w:val="00B64F1E"/>
    <w:rsid w:val="00B6673D"/>
    <w:rsid w:val="00B6694D"/>
    <w:rsid w:val="00B67247"/>
    <w:rsid w:val="00B70233"/>
    <w:rsid w:val="00B7040D"/>
    <w:rsid w:val="00B70CC2"/>
    <w:rsid w:val="00B7168F"/>
    <w:rsid w:val="00B75D39"/>
    <w:rsid w:val="00B776B8"/>
    <w:rsid w:val="00B90730"/>
    <w:rsid w:val="00B91833"/>
    <w:rsid w:val="00B918D2"/>
    <w:rsid w:val="00B91BF1"/>
    <w:rsid w:val="00B92679"/>
    <w:rsid w:val="00B95B59"/>
    <w:rsid w:val="00BA0A23"/>
    <w:rsid w:val="00BA20DE"/>
    <w:rsid w:val="00BB4097"/>
    <w:rsid w:val="00BB7279"/>
    <w:rsid w:val="00BB7636"/>
    <w:rsid w:val="00BC1415"/>
    <w:rsid w:val="00BC35D6"/>
    <w:rsid w:val="00BC757D"/>
    <w:rsid w:val="00BD2598"/>
    <w:rsid w:val="00BD4FBC"/>
    <w:rsid w:val="00BD62C7"/>
    <w:rsid w:val="00BE1152"/>
    <w:rsid w:val="00BE27A7"/>
    <w:rsid w:val="00BE422B"/>
    <w:rsid w:val="00BE534A"/>
    <w:rsid w:val="00BE6A8D"/>
    <w:rsid w:val="00BF36A3"/>
    <w:rsid w:val="00BF4328"/>
    <w:rsid w:val="00C013E4"/>
    <w:rsid w:val="00C017AF"/>
    <w:rsid w:val="00C02355"/>
    <w:rsid w:val="00C0257A"/>
    <w:rsid w:val="00C02D5E"/>
    <w:rsid w:val="00C02F5A"/>
    <w:rsid w:val="00C03A1A"/>
    <w:rsid w:val="00C0456C"/>
    <w:rsid w:val="00C04CE5"/>
    <w:rsid w:val="00C07113"/>
    <w:rsid w:val="00C1174F"/>
    <w:rsid w:val="00C1245F"/>
    <w:rsid w:val="00C1337F"/>
    <w:rsid w:val="00C15F06"/>
    <w:rsid w:val="00C16AF0"/>
    <w:rsid w:val="00C22BFD"/>
    <w:rsid w:val="00C25728"/>
    <w:rsid w:val="00C25A30"/>
    <w:rsid w:val="00C26282"/>
    <w:rsid w:val="00C26BFC"/>
    <w:rsid w:val="00C27B3B"/>
    <w:rsid w:val="00C34BE2"/>
    <w:rsid w:val="00C35C64"/>
    <w:rsid w:val="00C4042B"/>
    <w:rsid w:val="00C419D2"/>
    <w:rsid w:val="00C41CBC"/>
    <w:rsid w:val="00C43028"/>
    <w:rsid w:val="00C43F03"/>
    <w:rsid w:val="00C44FC0"/>
    <w:rsid w:val="00C4569D"/>
    <w:rsid w:val="00C45EA7"/>
    <w:rsid w:val="00C508FA"/>
    <w:rsid w:val="00C51254"/>
    <w:rsid w:val="00C523E1"/>
    <w:rsid w:val="00C574B8"/>
    <w:rsid w:val="00C65621"/>
    <w:rsid w:val="00C7224B"/>
    <w:rsid w:val="00C7610A"/>
    <w:rsid w:val="00C77790"/>
    <w:rsid w:val="00C81040"/>
    <w:rsid w:val="00C83D15"/>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E601B"/>
    <w:rsid w:val="00CF0A75"/>
    <w:rsid w:val="00CF67F6"/>
    <w:rsid w:val="00CF7196"/>
    <w:rsid w:val="00CF7473"/>
    <w:rsid w:val="00D00999"/>
    <w:rsid w:val="00D015DA"/>
    <w:rsid w:val="00D0224B"/>
    <w:rsid w:val="00D02FFC"/>
    <w:rsid w:val="00D04424"/>
    <w:rsid w:val="00D05625"/>
    <w:rsid w:val="00D058C7"/>
    <w:rsid w:val="00D06C8E"/>
    <w:rsid w:val="00D208E4"/>
    <w:rsid w:val="00D21BE3"/>
    <w:rsid w:val="00D22F27"/>
    <w:rsid w:val="00D25F04"/>
    <w:rsid w:val="00D30BF2"/>
    <w:rsid w:val="00D34C78"/>
    <w:rsid w:val="00D4586B"/>
    <w:rsid w:val="00D45AA5"/>
    <w:rsid w:val="00D47C66"/>
    <w:rsid w:val="00D50216"/>
    <w:rsid w:val="00D504EB"/>
    <w:rsid w:val="00D526F9"/>
    <w:rsid w:val="00D53F9E"/>
    <w:rsid w:val="00D556F7"/>
    <w:rsid w:val="00D601B5"/>
    <w:rsid w:val="00D60C3C"/>
    <w:rsid w:val="00D6287C"/>
    <w:rsid w:val="00D65ADB"/>
    <w:rsid w:val="00D66262"/>
    <w:rsid w:val="00D75266"/>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0A8B"/>
    <w:rsid w:val="00DB1907"/>
    <w:rsid w:val="00DB5FF8"/>
    <w:rsid w:val="00DB7186"/>
    <w:rsid w:val="00DC3286"/>
    <w:rsid w:val="00DC44FE"/>
    <w:rsid w:val="00DC619C"/>
    <w:rsid w:val="00DD10F4"/>
    <w:rsid w:val="00DD1F44"/>
    <w:rsid w:val="00DD21E6"/>
    <w:rsid w:val="00DD348D"/>
    <w:rsid w:val="00DD4116"/>
    <w:rsid w:val="00DD5EB7"/>
    <w:rsid w:val="00DD6851"/>
    <w:rsid w:val="00DD696C"/>
    <w:rsid w:val="00DE110E"/>
    <w:rsid w:val="00DE61B5"/>
    <w:rsid w:val="00DE7FFE"/>
    <w:rsid w:val="00DF1F7F"/>
    <w:rsid w:val="00DF3717"/>
    <w:rsid w:val="00DF6060"/>
    <w:rsid w:val="00E02C78"/>
    <w:rsid w:val="00E06F2E"/>
    <w:rsid w:val="00E0777F"/>
    <w:rsid w:val="00E1055A"/>
    <w:rsid w:val="00E122C8"/>
    <w:rsid w:val="00E13861"/>
    <w:rsid w:val="00E16244"/>
    <w:rsid w:val="00E1693D"/>
    <w:rsid w:val="00E16CFA"/>
    <w:rsid w:val="00E172CC"/>
    <w:rsid w:val="00E2029F"/>
    <w:rsid w:val="00E217BA"/>
    <w:rsid w:val="00E26930"/>
    <w:rsid w:val="00E27996"/>
    <w:rsid w:val="00E31861"/>
    <w:rsid w:val="00E3310E"/>
    <w:rsid w:val="00E33541"/>
    <w:rsid w:val="00E34CA1"/>
    <w:rsid w:val="00E3596D"/>
    <w:rsid w:val="00E370EE"/>
    <w:rsid w:val="00E40427"/>
    <w:rsid w:val="00E41877"/>
    <w:rsid w:val="00E42818"/>
    <w:rsid w:val="00E4296D"/>
    <w:rsid w:val="00E42CB8"/>
    <w:rsid w:val="00E42DBC"/>
    <w:rsid w:val="00E43395"/>
    <w:rsid w:val="00E44DDC"/>
    <w:rsid w:val="00E45D65"/>
    <w:rsid w:val="00E46282"/>
    <w:rsid w:val="00E466E1"/>
    <w:rsid w:val="00E470F0"/>
    <w:rsid w:val="00E50942"/>
    <w:rsid w:val="00E51081"/>
    <w:rsid w:val="00E57E14"/>
    <w:rsid w:val="00E60985"/>
    <w:rsid w:val="00E61D22"/>
    <w:rsid w:val="00E6597F"/>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A024B"/>
    <w:rsid w:val="00EA2CA8"/>
    <w:rsid w:val="00EA54EF"/>
    <w:rsid w:val="00EA6F34"/>
    <w:rsid w:val="00EA7C81"/>
    <w:rsid w:val="00EB03FE"/>
    <w:rsid w:val="00EB05F9"/>
    <w:rsid w:val="00EB1775"/>
    <w:rsid w:val="00EB1964"/>
    <w:rsid w:val="00EB3D5A"/>
    <w:rsid w:val="00EC2678"/>
    <w:rsid w:val="00EC3085"/>
    <w:rsid w:val="00EC3353"/>
    <w:rsid w:val="00EC37C0"/>
    <w:rsid w:val="00EC3D97"/>
    <w:rsid w:val="00EC3E81"/>
    <w:rsid w:val="00EC5999"/>
    <w:rsid w:val="00ED0784"/>
    <w:rsid w:val="00ED27BB"/>
    <w:rsid w:val="00ED3413"/>
    <w:rsid w:val="00ED5052"/>
    <w:rsid w:val="00ED630D"/>
    <w:rsid w:val="00ED6603"/>
    <w:rsid w:val="00ED6E3B"/>
    <w:rsid w:val="00EE02F3"/>
    <w:rsid w:val="00EE03F1"/>
    <w:rsid w:val="00EE0FE1"/>
    <w:rsid w:val="00EE55C0"/>
    <w:rsid w:val="00EE57F3"/>
    <w:rsid w:val="00EE59AF"/>
    <w:rsid w:val="00EF0D12"/>
    <w:rsid w:val="00EF2059"/>
    <w:rsid w:val="00EF3776"/>
    <w:rsid w:val="00EF3DBA"/>
    <w:rsid w:val="00EF59C4"/>
    <w:rsid w:val="00EF6881"/>
    <w:rsid w:val="00EF727D"/>
    <w:rsid w:val="00F013C6"/>
    <w:rsid w:val="00F033A5"/>
    <w:rsid w:val="00F10343"/>
    <w:rsid w:val="00F113AB"/>
    <w:rsid w:val="00F11AE0"/>
    <w:rsid w:val="00F14D9B"/>
    <w:rsid w:val="00F16F40"/>
    <w:rsid w:val="00F1765A"/>
    <w:rsid w:val="00F20081"/>
    <w:rsid w:val="00F21682"/>
    <w:rsid w:val="00F234D6"/>
    <w:rsid w:val="00F24D8A"/>
    <w:rsid w:val="00F2565E"/>
    <w:rsid w:val="00F3031F"/>
    <w:rsid w:val="00F306E4"/>
    <w:rsid w:val="00F340C4"/>
    <w:rsid w:val="00F345EC"/>
    <w:rsid w:val="00F34EAE"/>
    <w:rsid w:val="00F37D5B"/>
    <w:rsid w:val="00F40080"/>
    <w:rsid w:val="00F451DC"/>
    <w:rsid w:val="00F45904"/>
    <w:rsid w:val="00F45D04"/>
    <w:rsid w:val="00F475B4"/>
    <w:rsid w:val="00F512C8"/>
    <w:rsid w:val="00F52D41"/>
    <w:rsid w:val="00F54CA2"/>
    <w:rsid w:val="00F617EF"/>
    <w:rsid w:val="00F61A59"/>
    <w:rsid w:val="00F65EBE"/>
    <w:rsid w:val="00F67F6F"/>
    <w:rsid w:val="00F70992"/>
    <w:rsid w:val="00F70B30"/>
    <w:rsid w:val="00F70D7D"/>
    <w:rsid w:val="00F71391"/>
    <w:rsid w:val="00F7208C"/>
    <w:rsid w:val="00F728E3"/>
    <w:rsid w:val="00F740E9"/>
    <w:rsid w:val="00F76907"/>
    <w:rsid w:val="00F76E24"/>
    <w:rsid w:val="00F8020D"/>
    <w:rsid w:val="00F82568"/>
    <w:rsid w:val="00F8336E"/>
    <w:rsid w:val="00F86129"/>
    <w:rsid w:val="00F86181"/>
    <w:rsid w:val="00F86C09"/>
    <w:rsid w:val="00F87855"/>
    <w:rsid w:val="00F913B5"/>
    <w:rsid w:val="00F91BF4"/>
    <w:rsid w:val="00F94A45"/>
    <w:rsid w:val="00F962DD"/>
    <w:rsid w:val="00F96D74"/>
    <w:rsid w:val="00FA01B7"/>
    <w:rsid w:val="00FA357F"/>
    <w:rsid w:val="00FA43FC"/>
    <w:rsid w:val="00FA6284"/>
    <w:rsid w:val="00FA675D"/>
    <w:rsid w:val="00FB0980"/>
    <w:rsid w:val="00FB3824"/>
    <w:rsid w:val="00FB4703"/>
    <w:rsid w:val="00FB628F"/>
    <w:rsid w:val="00FB62F9"/>
    <w:rsid w:val="00FB7AE9"/>
    <w:rsid w:val="00FC0CD7"/>
    <w:rsid w:val="00FC162D"/>
    <w:rsid w:val="00FC16A1"/>
    <w:rsid w:val="00FC5C76"/>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6B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unhideWhenUsed/>
    <w:rsid w:val="005B099F"/>
    <w:rPr>
      <w:sz w:val="20"/>
      <w:szCs w:val="20"/>
    </w:rPr>
  </w:style>
  <w:style w:type="character" w:customStyle="1" w:styleId="CommentTextChar">
    <w:name w:val="Comment Text Char"/>
    <w:basedOn w:val="DefaultParagraphFont"/>
    <w:link w:val="CommentText"/>
    <w:uiPriority w:val="99"/>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0D282A"/>
    <w:pPr>
      <w:ind w:firstLine="567"/>
      <w:jc w:val="both"/>
    </w:pPr>
    <w:rPr>
      <w:rFonts w:ascii="Garamond" w:hAnsi="Garamond" w:cs="Times New Roman"/>
      <w:sz w:val="24"/>
      <w:szCs w:val="22"/>
    </w:rPr>
  </w:style>
  <w:style w:type="paragraph" w:customStyle="1" w:styleId="1Judul-Title">
    <w:name w:val="1. Judul - Title"/>
    <w:next w:val="2Penulis-Author"/>
    <w:qFormat/>
    <w:rsid w:val="00396CD6"/>
    <w:pPr>
      <w:spacing w:before="108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0D282A"/>
    <w:pPr>
      <w:ind w:firstLine="567"/>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303D96"/>
    <w:rPr>
      <w:rFonts w:ascii="Cambria" w:hAnsi="Cambria"/>
    </w:rPr>
  </w:style>
  <w:style w:type="paragraph" w:customStyle="1" w:styleId="7SubSubBagian-SubSubSection">
    <w:name w:val="7. Sub Sub Bagian - Sub Sub Section"/>
    <w:basedOn w:val="Heading3"/>
    <w:qFormat/>
    <w:rsid w:val="00745F7F"/>
    <w:rPr>
      <w:rFonts w:ascii="Cambria" w:hAnsi="Cambria"/>
    </w:rPr>
  </w:style>
  <w:style w:type="paragraph" w:customStyle="1" w:styleId="8Paragrafrapat">
    <w:name w:val="8. Paragraf rapat"/>
    <w:qFormat/>
    <w:rsid w:val="00896EC2"/>
    <w:rPr>
      <w:rFonts w:ascii="Garamond" w:hAnsi="Garamond" w:cs="Times New Roman"/>
      <w:b/>
      <w:szCs w:val="22"/>
      <w:lang w:eastAsia="en-US"/>
    </w:rPr>
  </w:style>
  <w:style w:type="paragraph" w:customStyle="1" w:styleId="3aSubmitted">
    <w:name w:val="3a. Submitted"/>
    <w:basedOn w:val="4email-email"/>
    <w:qFormat/>
    <w:rsid w:val="00396CD6"/>
    <w:pPr>
      <w:spacing w:before="240"/>
    </w:pPr>
  </w:style>
  <w:style w:type="character" w:styleId="PlaceholderText">
    <w:name w:val="Placeholder Text"/>
    <w:basedOn w:val="DefaultParagraphFont"/>
    <w:uiPriority w:val="99"/>
    <w:semiHidden/>
    <w:rsid w:val="003D602A"/>
    <w:rPr>
      <w:color w:val="808080"/>
    </w:rPr>
  </w:style>
  <w:style w:type="paragraph" w:styleId="Bibliography">
    <w:name w:val="Bibliography"/>
    <w:basedOn w:val="Normal"/>
    <w:next w:val="Normal"/>
    <w:uiPriority w:val="37"/>
    <w:unhideWhenUsed/>
    <w:rsid w:val="005A5ACC"/>
    <w:pPr>
      <w:spacing w:line="480" w:lineRule="auto"/>
      <w:ind w:left="720" w:hanging="720"/>
    </w:pPr>
  </w:style>
  <w:style w:type="character" w:customStyle="1" w:styleId="value">
    <w:name w:val="value"/>
    <w:basedOn w:val="DefaultParagraphFont"/>
    <w:rsid w:val="00E60985"/>
  </w:style>
  <w:style w:type="character" w:customStyle="1" w:styleId="tlid-translation">
    <w:name w:val="tlid-translation"/>
    <w:basedOn w:val="DefaultParagraphFont"/>
    <w:rsid w:val="004B3AE8"/>
  </w:style>
  <w:style w:type="character" w:customStyle="1" w:styleId="gt-baf-cell">
    <w:name w:val="gt-baf-cell"/>
    <w:basedOn w:val="DefaultParagraphFont"/>
    <w:rsid w:val="002D26CD"/>
  </w:style>
  <w:style w:type="character" w:styleId="UnresolvedMention">
    <w:name w:val="Unresolved Mention"/>
    <w:basedOn w:val="DefaultParagraphFont"/>
    <w:uiPriority w:val="99"/>
    <w:semiHidden/>
    <w:unhideWhenUsed/>
    <w:rsid w:val="00B24778"/>
    <w:rPr>
      <w:color w:val="605E5C"/>
      <w:shd w:val="clear" w:color="auto" w:fill="E1DFDD"/>
    </w:rPr>
  </w:style>
  <w:style w:type="paragraph" w:customStyle="1" w:styleId="Body">
    <w:name w:val="Body"/>
    <w:basedOn w:val="Normal"/>
    <w:qFormat/>
    <w:rsid w:val="004A2C47"/>
    <w:pPr>
      <w:widowControl w:val="0"/>
      <w:autoSpaceDE w:val="0"/>
      <w:autoSpaceDN w:val="0"/>
      <w:adjustRightInd w:val="0"/>
      <w:spacing w:line="360" w:lineRule="auto"/>
      <w:ind w:firstLine="340"/>
      <w:jc w:val="both"/>
      <w:textAlignment w:val="baseline"/>
    </w:pPr>
    <w:rPr>
      <w:rFonts w:asciiTheme="majorHAnsi" w:eastAsia="BatangChe" w:hAnsiTheme="majorHAnsi"/>
      <w:sz w:val="22"/>
      <w:szCs w:val="20"/>
      <w:lang w:val="en" w:eastAsia="ko-KR"/>
    </w:rPr>
  </w:style>
  <w:style w:type="table" w:customStyle="1" w:styleId="TableGrid1">
    <w:name w:val="Table Grid1"/>
    <w:basedOn w:val="TableNormal"/>
    <w:next w:val="TableGrid"/>
    <w:uiPriority w:val="39"/>
    <w:rsid w:val="004A2C47"/>
    <w:rPr>
      <w:rFonts w:ascii="Times New Roman" w:hAnsi="Times New Roman" w:cs="Times New Roman"/>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subhead">
    <w:name w:val="table col subhead"/>
    <w:basedOn w:val="Normal"/>
    <w:qFormat/>
    <w:rsid w:val="00210C56"/>
    <w:pPr>
      <w:ind w:firstLine="0"/>
      <w:jc w:val="center"/>
    </w:pPr>
    <w:rPr>
      <w:rFonts w:asciiTheme="majorHAnsi" w:eastAsia="SimSun" w:hAnsiTheme="majorHAnsi"/>
      <w:b/>
      <w:i/>
      <w:sz w:val="20"/>
      <w:szCs w:val="20"/>
      <w:lang w:val="en"/>
    </w:rPr>
  </w:style>
  <w:style w:type="paragraph" w:customStyle="1" w:styleId="tablecopy">
    <w:name w:val="table copy"/>
    <w:qFormat/>
    <w:rsid w:val="00210C56"/>
    <w:pPr>
      <w:jc w:val="both"/>
    </w:pPr>
    <w:rPr>
      <w:rFonts w:asciiTheme="majorHAnsi" w:eastAsia="SimSun" w:hAnsiTheme="majorHAnsi" w:cs="Times New Roman"/>
      <w:lang w:val="en" w:eastAsia="en-US"/>
    </w:rPr>
  </w:style>
  <w:style w:type="paragraph" w:customStyle="1" w:styleId="GambarTabel">
    <w:name w:val="Gambar Tabel"/>
    <w:basedOn w:val="Caption"/>
    <w:qFormat/>
    <w:rsid w:val="00210C56"/>
    <w:pPr>
      <w:spacing w:after="0"/>
      <w:ind w:firstLine="0"/>
      <w:jc w:val="center"/>
    </w:pPr>
    <w:rPr>
      <w:rFonts w:ascii="Times New Roman" w:hAnsi="Times New Roman"/>
      <w:i w:val="0"/>
      <w:color w:val="auto"/>
      <w:sz w:val="22"/>
      <w:szCs w:val="22"/>
      <w:lang w:val="en"/>
    </w:rPr>
  </w:style>
  <w:style w:type="paragraph" w:styleId="Caption">
    <w:name w:val="caption"/>
    <w:basedOn w:val="Normal"/>
    <w:next w:val="Normal"/>
    <w:uiPriority w:val="35"/>
    <w:semiHidden/>
    <w:unhideWhenUsed/>
    <w:qFormat/>
    <w:rsid w:val="00210C56"/>
    <w:pPr>
      <w:spacing w:after="200"/>
    </w:pPr>
    <w:rPr>
      <w:i/>
      <w:iCs/>
      <w:color w:val="1F497D" w:themeColor="text2"/>
      <w:sz w:val="18"/>
      <w:szCs w:val="18"/>
    </w:rPr>
  </w:style>
  <w:style w:type="table" w:customStyle="1" w:styleId="TableGrid2">
    <w:name w:val="Table Grid2"/>
    <w:basedOn w:val="TableNormal"/>
    <w:next w:val="TableGrid"/>
    <w:uiPriority w:val="39"/>
    <w:rsid w:val="00210C56"/>
    <w:rPr>
      <w:rFonts w:ascii="Times New Roman" w:hAnsi="Times New Roman" w:cs="Times New Roman"/>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23E1"/>
    <w:rPr>
      <w:rFonts w:ascii="Times New Roman" w:hAnsi="Times New Roman" w:cs="Times New Roman"/>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6F40"/>
    <w:rPr>
      <w:rFonts w:ascii="Garamond" w:hAnsi="Garamond" w:cs="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388918637">
      <w:bodyDiv w:val="1"/>
      <w:marLeft w:val="0"/>
      <w:marRight w:val="0"/>
      <w:marTop w:val="0"/>
      <w:marBottom w:val="0"/>
      <w:divBdr>
        <w:top w:val="none" w:sz="0" w:space="0" w:color="auto"/>
        <w:left w:val="none" w:sz="0" w:space="0" w:color="auto"/>
        <w:bottom w:val="none" w:sz="0" w:space="0" w:color="auto"/>
        <w:right w:val="none" w:sz="0" w:space="0" w:color="auto"/>
      </w:divBdr>
      <w:divsChild>
        <w:div w:id="402873101">
          <w:marLeft w:val="0"/>
          <w:marRight w:val="0"/>
          <w:marTop w:val="0"/>
          <w:marBottom w:val="0"/>
          <w:divBdr>
            <w:top w:val="none" w:sz="0" w:space="0" w:color="auto"/>
            <w:left w:val="none" w:sz="0" w:space="0" w:color="auto"/>
            <w:bottom w:val="none" w:sz="0" w:space="0" w:color="auto"/>
            <w:right w:val="none" w:sz="0" w:space="0" w:color="auto"/>
          </w:divBdr>
          <w:divsChild>
            <w:div w:id="19046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72647818">
      <w:bodyDiv w:val="1"/>
      <w:marLeft w:val="0"/>
      <w:marRight w:val="0"/>
      <w:marTop w:val="0"/>
      <w:marBottom w:val="0"/>
      <w:divBdr>
        <w:top w:val="none" w:sz="0" w:space="0" w:color="auto"/>
        <w:left w:val="none" w:sz="0" w:space="0" w:color="auto"/>
        <w:bottom w:val="none" w:sz="0" w:space="0" w:color="auto"/>
        <w:right w:val="none" w:sz="0" w:space="0" w:color="auto"/>
      </w:divBdr>
      <w:divsChild>
        <w:div w:id="571042083">
          <w:marLeft w:val="0"/>
          <w:marRight w:val="0"/>
          <w:marTop w:val="0"/>
          <w:marBottom w:val="0"/>
          <w:divBdr>
            <w:top w:val="none" w:sz="0" w:space="0" w:color="auto"/>
            <w:left w:val="none" w:sz="0" w:space="0" w:color="auto"/>
            <w:bottom w:val="none" w:sz="0" w:space="0" w:color="auto"/>
            <w:right w:val="none" w:sz="0" w:space="0" w:color="auto"/>
          </w:divBdr>
          <w:divsChild>
            <w:div w:id="85291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836262371">
      <w:bodyDiv w:val="1"/>
      <w:marLeft w:val="0"/>
      <w:marRight w:val="0"/>
      <w:marTop w:val="0"/>
      <w:marBottom w:val="0"/>
      <w:divBdr>
        <w:top w:val="none" w:sz="0" w:space="0" w:color="auto"/>
        <w:left w:val="none" w:sz="0" w:space="0" w:color="auto"/>
        <w:bottom w:val="none" w:sz="0" w:space="0" w:color="auto"/>
        <w:right w:val="none" w:sz="0" w:space="0" w:color="auto"/>
      </w:divBdr>
      <w:divsChild>
        <w:div w:id="1344211830">
          <w:marLeft w:val="0"/>
          <w:marRight w:val="0"/>
          <w:marTop w:val="0"/>
          <w:marBottom w:val="0"/>
          <w:divBdr>
            <w:top w:val="none" w:sz="0" w:space="0" w:color="auto"/>
            <w:left w:val="none" w:sz="0" w:space="0" w:color="auto"/>
            <w:bottom w:val="none" w:sz="0" w:space="0" w:color="auto"/>
            <w:right w:val="none" w:sz="0" w:space="0" w:color="auto"/>
          </w:divBdr>
          <w:divsChild>
            <w:div w:id="6136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51962543">
      <w:bodyDiv w:val="1"/>
      <w:marLeft w:val="0"/>
      <w:marRight w:val="0"/>
      <w:marTop w:val="0"/>
      <w:marBottom w:val="0"/>
      <w:divBdr>
        <w:top w:val="none" w:sz="0" w:space="0" w:color="auto"/>
        <w:left w:val="none" w:sz="0" w:space="0" w:color="auto"/>
        <w:bottom w:val="none" w:sz="0" w:space="0" w:color="auto"/>
        <w:right w:val="none" w:sz="0" w:space="0" w:color="auto"/>
      </w:divBdr>
      <w:divsChild>
        <w:div w:id="1861161212">
          <w:marLeft w:val="0"/>
          <w:marRight w:val="0"/>
          <w:marTop w:val="0"/>
          <w:marBottom w:val="0"/>
          <w:divBdr>
            <w:top w:val="none" w:sz="0" w:space="0" w:color="auto"/>
            <w:left w:val="none" w:sz="0" w:space="0" w:color="auto"/>
            <w:bottom w:val="none" w:sz="0" w:space="0" w:color="auto"/>
            <w:right w:val="none" w:sz="0" w:space="0" w:color="auto"/>
          </w:divBdr>
        </w:div>
        <w:div w:id="370612315">
          <w:marLeft w:val="0"/>
          <w:marRight w:val="0"/>
          <w:marTop w:val="0"/>
          <w:marBottom w:val="0"/>
          <w:divBdr>
            <w:top w:val="none" w:sz="0" w:space="0" w:color="auto"/>
            <w:left w:val="none" w:sz="0" w:space="0" w:color="auto"/>
            <w:bottom w:val="none" w:sz="0" w:space="0" w:color="auto"/>
            <w:right w:val="none" w:sz="0" w:space="0" w:color="auto"/>
          </w:divBdr>
        </w:div>
        <w:div w:id="1933127093">
          <w:marLeft w:val="0"/>
          <w:marRight w:val="0"/>
          <w:marTop w:val="0"/>
          <w:marBottom w:val="0"/>
          <w:divBdr>
            <w:top w:val="none" w:sz="0" w:space="0" w:color="auto"/>
            <w:left w:val="none" w:sz="0" w:space="0" w:color="auto"/>
            <w:bottom w:val="none" w:sz="0" w:space="0" w:color="auto"/>
            <w:right w:val="none" w:sz="0" w:space="0" w:color="auto"/>
          </w:divBdr>
        </w:div>
        <w:div w:id="300891452">
          <w:marLeft w:val="0"/>
          <w:marRight w:val="0"/>
          <w:marTop w:val="0"/>
          <w:marBottom w:val="0"/>
          <w:divBdr>
            <w:top w:val="none" w:sz="0" w:space="0" w:color="auto"/>
            <w:left w:val="none" w:sz="0" w:space="0" w:color="auto"/>
            <w:bottom w:val="none" w:sz="0" w:space="0" w:color="auto"/>
            <w:right w:val="none" w:sz="0" w:space="0" w:color="auto"/>
          </w:divBdr>
        </w:div>
      </w:divsChild>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02693314">
      <w:bodyDiv w:val="1"/>
      <w:marLeft w:val="0"/>
      <w:marRight w:val="0"/>
      <w:marTop w:val="0"/>
      <w:marBottom w:val="0"/>
      <w:divBdr>
        <w:top w:val="none" w:sz="0" w:space="0" w:color="auto"/>
        <w:left w:val="none" w:sz="0" w:space="0" w:color="auto"/>
        <w:bottom w:val="none" w:sz="0" w:space="0" w:color="auto"/>
        <w:right w:val="none" w:sz="0" w:space="0" w:color="auto"/>
      </w:divBdr>
      <w:divsChild>
        <w:div w:id="690574057">
          <w:marLeft w:val="0"/>
          <w:marRight w:val="0"/>
          <w:marTop w:val="0"/>
          <w:marBottom w:val="0"/>
          <w:divBdr>
            <w:top w:val="none" w:sz="0" w:space="0" w:color="auto"/>
            <w:left w:val="none" w:sz="0" w:space="0" w:color="auto"/>
            <w:bottom w:val="none" w:sz="0" w:space="0" w:color="auto"/>
            <w:right w:val="none" w:sz="0" w:space="0" w:color="auto"/>
          </w:divBdr>
          <w:divsChild>
            <w:div w:id="2208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637758367">
      <w:bodyDiv w:val="1"/>
      <w:marLeft w:val="0"/>
      <w:marRight w:val="0"/>
      <w:marTop w:val="0"/>
      <w:marBottom w:val="0"/>
      <w:divBdr>
        <w:top w:val="none" w:sz="0" w:space="0" w:color="auto"/>
        <w:left w:val="none" w:sz="0" w:space="0" w:color="auto"/>
        <w:bottom w:val="none" w:sz="0" w:space="0" w:color="auto"/>
        <w:right w:val="none" w:sz="0" w:space="0" w:color="auto"/>
      </w:divBdr>
      <w:divsChild>
        <w:div w:id="1096362256">
          <w:marLeft w:val="0"/>
          <w:marRight w:val="0"/>
          <w:marTop w:val="0"/>
          <w:marBottom w:val="0"/>
          <w:divBdr>
            <w:top w:val="none" w:sz="0" w:space="0" w:color="auto"/>
            <w:left w:val="none" w:sz="0" w:space="0" w:color="auto"/>
            <w:bottom w:val="none" w:sz="0" w:space="0" w:color="auto"/>
            <w:right w:val="none" w:sz="0" w:space="0" w:color="auto"/>
          </w:divBdr>
          <w:divsChild>
            <w:div w:id="154090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52987800">
      <w:bodyDiv w:val="1"/>
      <w:marLeft w:val="0"/>
      <w:marRight w:val="0"/>
      <w:marTop w:val="0"/>
      <w:marBottom w:val="0"/>
      <w:divBdr>
        <w:top w:val="none" w:sz="0" w:space="0" w:color="auto"/>
        <w:left w:val="none" w:sz="0" w:space="0" w:color="auto"/>
        <w:bottom w:val="none" w:sz="0" w:space="0" w:color="auto"/>
        <w:right w:val="none" w:sz="0" w:space="0" w:color="auto"/>
      </w:divBdr>
      <w:divsChild>
        <w:div w:id="1596398236">
          <w:marLeft w:val="0"/>
          <w:marRight w:val="0"/>
          <w:marTop w:val="0"/>
          <w:marBottom w:val="0"/>
          <w:divBdr>
            <w:top w:val="none" w:sz="0" w:space="0" w:color="auto"/>
            <w:left w:val="none" w:sz="0" w:space="0" w:color="auto"/>
            <w:bottom w:val="none" w:sz="0" w:space="0" w:color="auto"/>
            <w:right w:val="none" w:sz="0" w:space="0" w:color="auto"/>
          </w:divBdr>
          <w:divsChild>
            <w:div w:id="279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23767062">
      <w:bodyDiv w:val="1"/>
      <w:marLeft w:val="0"/>
      <w:marRight w:val="0"/>
      <w:marTop w:val="0"/>
      <w:marBottom w:val="0"/>
      <w:divBdr>
        <w:top w:val="none" w:sz="0" w:space="0" w:color="auto"/>
        <w:left w:val="none" w:sz="0" w:space="0" w:color="auto"/>
        <w:bottom w:val="none" w:sz="0" w:space="0" w:color="auto"/>
        <w:right w:val="none" w:sz="0" w:space="0" w:color="auto"/>
      </w:divBdr>
    </w:div>
    <w:div w:id="2142729419">
      <w:bodyDiv w:val="1"/>
      <w:marLeft w:val="0"/>
      <w:marRight w:val="0"/>
      <w:marTop w:val="0"/>
      <w:marBottom w:val="0"/>
      <w:divBdr>
        <w:top w:val="none" w:sz="0" w:space="0" w:color="auto"/>
        <w:left w:val="none" w:sz="0" w:space="0" w:color="auto"/>
        <w:bottom w:val="none" w:sz="0" w:space="0" w:color="auto"/>
        <w:right w:val="none" w:sz="0" w:space="0" w:color="auto"/>
      </w:divBdr>
      <w:divsChild>
        <w:div w:id="1964724383">
          <w:marLeft w:val="0"/>
          <w:marRight w:val="0"/>
          <w:marTop w:val="0"/>
          <w:marBottom w:val="0"/>
          <w:divBdr>
            <w:top w:val="none" w:sz="0" w:space="0" w:color="auto"/>
            <w:left w:val="none" w:sz="0" w:space="0" w:color="auto"/>
            <w:bottom w:val="none" w:sz="0" w:space="0" w:color="auto"/>
            <w:right w:val="none" w:sz="0" w:space="0" w:color="auto"/>
          </w:divBdr>
          <w:divsChild>
            <w:div w:id="191111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1E61A-B7E3-4A71-863C-A26255E2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16005</Words>
  <Characters>91712</Characters>
  <Application>Microsoft Office Word</Application>
  <DocSecurity>0</DocSecurity>
  <Lines>1910</Lines>
  <Paragraphs>897</Paragraphs>
  <ScaleCrop>false</ScaleCrop>
  <Company/>
  <LinksUpToDate>false</LinksUpToDate>
  <CharactersWithSpaces>106820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2023-09-06T00:39:00Z</dcterms:created>
  <dcterms:modified xsi:type="dcterms:W3CDTF">2023-10-11T13:53:00Z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d90d60f84bd2b29dd40ca6a33e3242269c84bfeaf87ee1e08e23cf2573a405fa</vt:lpwstr>
  </property>
</Properties>
</file>